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361d20f.htm"/>
        <w:bookmarkStart w:id="1" w:name="ksd36361d20f"/>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20-F</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REGISTRATION STATEMENT PURSUANT TO SECTION 12(b) OR 12(g)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SHELL COMPANY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Date of event requiring this shell company report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________to_________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001-39466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Cayman Islands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(Address of principal executive offices)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240" w:after="0"/>
        <w:jc w:val="center"/>
        <w:rPr>
          <w:rFonts w:ascii="Times New Roman" w:hAnsi="Times New Roman"/>
          <w:b/>
          <w:sz w:val="20"/>
        </w:rPr>
      </w:pPr>
      <w:r>
        <w:rPr>
          <w:rFonts w:ascii="Times New Roman" w:hAnsi="Times New Roman"/>
          <w:b/>
          <w:sz w:val="20"/>
        </w:rPr>
        <w:t xml:space="preserve">Hongdi Brian Gu, Honorary Vice Chairman and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Co-President</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+86-20-6680-6680</w:t>
      </w:r>
    </w:p>
    <w:p>
      <w:pPr>
        <w:pStyle w:val="TextBody"/>
        <w:bidi w:val="0"/>
        <w:spacing w:before="0" w:after="0"/>
        <w:jc w:val="center"/>
        <w:rPr>
          <w:rFonts w:ascii="Times New Roman" w:hAnsi="Times New Roman"/>
          <w:b/>
          <w:sz w:val="20"/>
        </w:rPr>
      </w:pPr>
      <w:r>
        <w:rPr>
          <w:rFonts w:ascii="Times New Roman" w:hAnsi="Times New Roman"/>
          <w:b/>
          <w:sz w:val="20"/>
        </w:rPr>
        <w:t xml:space="preserve">Email: ir@xiaopeng.com </w:t>
      </w:r>
    </w:p>
    <w:p>
      <w:pPr>
        <w:pStyle w:val="TextBody"/>
        <w:bidi w:val="0"/>
        <w:spacing w:before="0" w:after="0"/>
        <w:jc w:val="center"/>
        <w:rPr>
          <w:rFonts w:ascii="Times New Roman" w:hAnsi="Times New Roman"/>
          <w:b/>
          <w:sz w:val="20"/>
        </w:rPr>
      </w:pPr>
      <w:r>
        <w:rPr>
          <w:rFonts w:ascii="Times New Roman" w:hAnsi="Times New Roman"/>
          <w:b/>
          <w:sz w:val="20"/>
        </w:rPr>
        <w:t xml:space="preserve">At the address of the Company set forth above </w:t>
      </w:r>
    </w:p>
    <w:p>
      <w:pPr>
        <w:pStyle w:val="TextBody"/>
        <w:bidi w:val="0"/>
        <w:spacing w:before="0" w:after="0"/>
        <w:jc w:val="center"/>
        <w:rPr>
          <w:rFonts w:ascii="Times New Roman" w:hAnsi="Times New Roman"/>
          <w:b/>
          <w:sz w:val="16"/>
        </w:rPr>
      </w:pPr>
      <w:r>
        <w:rPr>
          <w:rFonts w:ascii="Times New Roman" w:hAnsi="Times New Roman"/>
          <w:b/>
          <w:sz w:val="16"/>
        </w:rPr>
        <w:t xml:space="preserve">(Name, Telephone,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E-mail</w:t>
      </w:r>
    </w:p>
    <w:p>
      <w:pPr>
        <w:pStyle w:val="TextBody"/>
        <w:bidi w:val="0"/>
        <w:spacing w:before="0" w:after="0"/>
        <w:jc w:val="center"/>
        <w:rPr>
          <w:rFonts w:ascii="Times New Roman" w:hAnsi="Times New Roman"/>
          <w:b/>
          <w:sz w:val="16"/>
        </w:rPr>
      </w:pPr>
      <w:r>
        <w:rPr>
          <w:rFonts w:ascii="Times New Roman" w:hAnsi="Times New Roman"/>
          <w:b/>
          <w:sz w:val="16"/>
        </w:rPr>
        <w:t xml:space="preserve">and/or Facsimile number and Address of Company Contact Person)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or to be registered pursuant to Section 12(b) of the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25"/>
        <w:gridCol w:w="60"/>
        <w:gridCol w:w="733"/>
        <w:gridCol w:w="60"/>
        <w:gridCol w:w="2527"/>
      </w:tblGrid>
      <w:tr>
        <w:trPr/>
        <w:tc>
          <w:tcPr>
            <w:tcW w:w="6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6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3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825" w:type="dxa"/>
            <w:tcBorders/>
            <w:vAlign w:val="center"/>
          </w:tcPr>
          <w:p>
            <w:pPr>
              <w:pStyle w:val="TableContents"/>
              <w:bidi w:val="0"/>
              <w:spacing w:before="0" w:after="0"/>
              <w:jc w:val="center"/>
              <w:rPr>
                <w:b/>
                <w:spacing w:val="0"/>
              </w:rPr>
            </w:pPr>
            <w:r>
              <w:rPr>
                <w:b/>
                <w:spacing w:val="0"/>
              </w:rPr>
              <w:t>American Depositary Shares, each representing two Class A ordinary shares</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0"/>
              <w:jc w:val="center"/>
              <w:rPr>
                <w:b/>
                <w:spacing w:val="0"/>
              </w:rPr>
            </w:pPr>
            <w:r>
              <w:rPr>
                <w:b/>
                <w:spacing w:val="0"/>
              </w:rPr>
              <w:t>XPEV</w:t>
            </w:r>
          </w:p>
        </w:tc>
        <w:tc>
          <w:tcPr>
            <w:tcW w:w="60" w:type="dxa"/>
            <w:tcBorders/>
            <w:vAlign w:val="center"/>
          </w:tcPr>
          <w:p>
            <w:pPr>
              <w:pStyle w:val="TableContents"/>
              <w:bidi w:val="0"/>
              <w:spacing w:before="0" w:after="283"/>
              <w:jc w:val="left"/>
              <w:rPr/>
            </w:pPr>
            <w:r>
              <w:rPr/>
              <w:t> </w:t>
            </w:r>
          </w:p>
        </w:tc>
        <w:tc>
          <w:tcPr>
            <w:tcW w:w="2527" w:type="dxa"/>
            <w:tcBorders/>
            <w:vAlign w:val="center"/>
          </w:tcPr>
          <w:p>
            <w:pPr>
              <w:pStyle w:val="TableContents"/>
              <w:bidi w:val="0"/>
              <w:spacing w:before="0" w:after="0"/>
              <w:jc w:val="center"/>
              <w:rPr>
                <w:b/>
                <w:spacing w:val="0"/>
              </w:rPr>
            </w:pPr>
            <w:r>
              <w:rPr>
                <w:b/>
                <w:spacing w:val="0"/>
              </w:rPr>
              <w:t>New York Stock Exchange</w:t>
            </w:r>
          </w:p>
        </w:tc>
      </w:tr>
      <w:tr>
        <w:trPr/>
        <w:tc>
          <w:tcPr>
            <w:tcW w:w="6825" w:type="dxa"/>
            <w:tcBorders/>
            <w:vAlign w:val="center"/>
          </w:tcPr>
          <w:p>
            <w:pPr>
              <w:pStyle w:val="TableContents"/>
              <w:bidi w:val="0"/>
              <w:spacing w:before="0" w:after="0"/>
              <w:jc w:val="center"/>
              <w:rPr>
                <w:b/>
                <w:spacing w:val="0"/>
              </w:rPr>
            </w:pPr>
            <w:r>
              <w:rPr>
                <w:b/>
                <w:spacing w:val="0"/>
              </w:rPr>
              <w:t>Class A ordinary shares, par value US$0.00001 per share*</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27"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for trading</w:t>
            </w:r>
          </w:p>
          <w:p>
            <w:pPr>
              <w:pStyle w:val="TableContents"/>
              <w:bidi w:val="0"/>
              <w:spacing w:before="0" w:after="0"/>
              <w:jc w:val="left"/>
              <w:rPr>
                <w:rFonts w:ascii="Times New Roman" w:hAnsi="Times New Roman"/>
                <w:sz w:val="20"/>
              </w:rPr>
            </w:pPr>
            <w:r>
              <w:rPr>
                <w:rFonts w:ascii="Times New Roman" w:hAnsi="Times New Roman"/>
                <w:sz w:val="20"/>
              </w:rPr>
              <w:t xml:space="preserve">on the New York Stock Exchange, but only in connection with the listing on the New York Stock Exchange of American depositary shares.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or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for which there is a reporting obligation pursuant to Section 15(d)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the number of outstanding shares of each of the issuer’s classes of capital or common stock as of the close of the period covered by the annual report.</w:t>
      </w:r>
    </w:p>
    <w:p>
      <w:pPr>
        <w:pStyle w:val="TextBody"/>
        <w:bidi w:val="0"/>
        <w:spacing w:before="240" w:after="0"/>
        <w:jc w:val="center"/>
        <w:rPr>
          <w:rFonts w:ascii="Times New Roman" w:hAnsi="Times New Roman"/>
          <w:sz w:val="20"/>
        </w:rPr>
      </w:pPr>
      <w:r>
        <w:rPr>
          <w:rFonts w:ascii="Times New Roman" w:hAnsi="Times New Roman"/>
          <w:sz w:val="20"/>
        </w:rPr>
        <w:t xml:space="preserve">1,561,047,400 Class A ordinary shares were outstanding as of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348,708,257 Class B ordinary shares were outstanding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Act. ☒ </w:t>
      </w:r>
    </w:p>
    <w:p>
      <w:pPr>
        <w:pStyle w:val="TextBody"/>
        <w:bidi w:val="0"/>
        <w:spacing w:before="240" w:after="0"/>
        <w:jc w:val="left"/>
        <w:rPr>
          <w:rFonts w:ascii="Times New Roman" w:hAnsi="Times New Roman"/>
          <w:sz w:val="20"/>
        </w:rPr>
      </w:pPr>
      <w:r>
        <w:rPr>
          <w:rFonts w:ascii="Times New Roman" w:hAnsi="Times New Roman"/>
          <w:sz w:val="20"/>
        </w:rPr>
        <w:t>Yes</w:t>
      </w:r>
    </w:p>
    <w:p>
      <w:pPr>
        <w:pStyle w:val="TextBody"/>
        <w:bidi w:val="0"/>
        <w:spacing w:before="240" w:after="0"/>
        <w:jc w:val="left"/>
        <w:rPr>
          <w:spacing w:val="0"/>
        </w:rPr>
      </w:pPr>
      <w:r>
        <w:rPr>
          <w:spacing w:val="0"/>
        </w:rPr>
        <w:t>  ☐ </w:t>
      </w:r>
      <w:r>
        <w:rPr>
          <w:rFonts w:ascii="Times New Roman" w:hAnsi="Times New Roman"/>
          <w:spacing w:val="0"/>
          <w:sz w:val="20"/>
        </w:rPr>
        <w:t xml:space="preserve">No </w:t>
      </w:r>
    </w:p>
    <w:p>
      <w:pPr>
        <w:pStyle w:val="TextBody"/>
        <w:bidi w:val="0"/>
        <w:spacing w:before="240" w:after="0"/>
        <w:jc w:val="left"/>
        <w:rPr>
          <w:rFonts w:ascii="Times New Roman" w:hAnsi="Times New Roman"/>
          <w:sz w:val="20"/>
        </w:rPr>
      </w:pPr>
      <w:r>
        <w:rPr>
          <w:rFonts w:ascii="Times New Roman" w:hAnsi="Times New Roman"/>
          <w:sz w:val="20"/>
        </w:rPr>
        <w:t xml:space="preserve">If this report is an annual or transition report, indicate by check mark if the registrant is not required to file reports pursuant to Section 13 or 15(d) of the Securities Exchange Act of 1934. ☐ Yes ☒ No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filer, or an emerging growth company. See the definitions of “large accelerated filer,” “accelerated filer,”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the Exchange Act.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9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tbl>
      <w:tblPr>
        <w:tblW w:w="5075" w:type="dxa"/>
        <w:jc w:val="left"/>
        <w:tblInd w:w="0" w:type="dxa"/>
        <w:tblLayout w:type="fixed"/>
        <w:tblCellMar>
          <w:top w:w="0" w:type="dxa"/>
          <w:left w:w="0" w:type="dxa"/>
          <w:bottom w:w="0" w:type="dxa"/>
          <w:right w:w="0" w:type="dxa"/>
        </w:tblCellMar>
      </w:tblPr>
      <w:tblGrid>
        <w:gridCol w:w="2135"/>
        <w:gridCol w:w="60"/>
        <w:gridCol w:w="230"/>
        <w:gridCol w:w="120"/>
        <w:gridCol w:w="222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0"/>
              <w:jc w:val="left"/>
              <w:rPr/>
            </w:pPr>
            <w:r>
              <w:rPr/>
              <w:t>☒</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which basis of accounting the registrant has used to prepare the financial statements included in this filing: </w:t>
      </w:r>
    </w:p>
    <w:p>
      <w:pPr>
        <w:pStyle w:val="TextBody"/>
        <w:bidi w:val="0"/>
        <w:spacing w:before="0" w:after="0"/>
        <w:jc w:val="left"/>
        <w:rPr/>
      </w:pPr>
      <w:r>
        <w:rPr/>
        <w:t> </w:t>
      </w:r>
    </w:p>
    <w:tbl>
      <w:tblPr>
        <w:tblW w:w="8563" w:type="dxa"/>
        <w:jc w:val="left"/>
        <w:tblInd w:w="0" w:type="dxa"/>
        <w:tblLayout w:type="fixed"/>
        <w:tblCellMar>
          <w:top w:w="0" w:type="dxa"/>
          <w:left w:w="0" w:type="dxa"/>
          <w:bottom w:w="0" w:type="dxa"/>
          <w:right w:w="0" w:type="dxa"/>
        </w:tblCellMar>
      </w:tblPr>
      <w:tblGrid>
        <w:gridCol w:w="1535"/>
        <w:gridCol w:w="60"/>
        <w:gridCol w:w="5510"/>
        <w:gridCol w:w="60"/>
        <w:gridCol w:w="230"/>
        <w:gridCol w:w="120"/>
        <w:gridCol w:w="23"/>
        <w:gridCol w:w="120"/>
        <w:gridCol w:w="905"/>
      </w:tblGrid>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U.S. GAAP ☒</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International Financial Reporting Standards as issued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Other ☐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by the International Accounting Standards Board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“Other” has been checked in response to the previous question, indicate by check mark which consolidated financial statement item the registrant has elected to follow. ☐ Item 17 ☐ Item 18 </w:t>
      </w:r>
    </w:p>
    <w:p>
      <w:pPr>
        <w:pStyle w:val="TextBody"/>
        <w:bidi w:val="0"/>
        <w:spacing w:before="240" w:after="0"/>
        <w:jc w:val="left"/>
        <w:rPr>
          <w:rFonts w:ascii="Times New Roman" w:hAnsi="Times New Roman"/>
          <w:sz w:val="20"/>
        </w:rPr>
      </w:pPr>
      <w:r>
        <w:rPr>
          <w:rFonts w:ascii="Times New Roman" w:hAnsi="Times New Roman"/>
          <w:sz w:val="20"/>
        </w:rPr>
        <w:t xml:space="preserve">If this is an annual report, indicate by check mark whether the registrant is a shell company (as defined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Rule 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1934). ☐ Yes ☒ No </w:t>
      </w:r>
    </w:p>
    <w:p>
      <w:pPr>
        <w:pStyle w:val="TextBody"/>
        <w:bidi w:val="0"/>
        <w:spacing w:before="240" w:after="0"/>
        <w:jc w:val="left"/>
        <w:rPr>
          <w:rFonts w:ascii="Times New Roman" w:hAnsi="Times New Roman"/>
          <w:sz w:val="20"/>
        </w:rPr>
      </w:pPr>
      <w:r>
        <w:rPr>
          <w:rFonts w:ascii="Times New Roman" w:hAnsi="Times New Roman"/>
          <w:sz w:val="20"/>
        </w:rPr>
        <w:t xml:space="preserve">(APPLICABLE ONLY TO ISSUERS INVOLVED IN BANKRUPTCY PROCEEDINGS DURING THE PAST FIVE YEARS)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all documents and reports required to be filed by Sections 12, 13 or 15(d) of the Securities Exchange Act of 1934 subsequent to the distribution of securities under a plan confirmed by a court. ☐ Yes ☐ No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50"/>
        <w:gridCol w:w="60"/>
        <w:gridCol w:w="8384"/>
        <w:gridCol w:w="120"/>
        <w:gridCol w:w="70"/>
        <w:gridCol w:w="445"/>
        <w:gridCol w:w="76"/>
      </w:tblGrid>
      <w:tr>
        <w:trPr/>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hyperlink w:anchor="rom36361_1">
              <w:r>
                <w:rPr>
                  <w:rStyle w:val="InternetLink"/>
                  <w:b/>
                  <w:u w:val="single"/>
                </w:rPr>
                <w:t>PART I.</w:t>
              </w:r>
            </w:hyperlink>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
              <w:r>
                <w:rPr>
                  <w:rStyle w:val="InternetLink"/>
                </w:rPr>
                <w:t>IDENTITY OF DIRECTORS, SENIOR MANAGEMENT AND ADVISERS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3">
              <w:r>
                <w:rPr>
                  <w:rStyle w:val="InternetLink"/>
                </w:rPr>
                <w:t>OFFER STATISTICS AND EXPECTED TIMETABLE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4">
              <w:r>
                <w:rPr>
                  <w:rStyle w:val="InternetLink"/>
                </w:rPr>
                <w:t>KEY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5">
              <w:r>
                <w:rPr>
                  <w:rStyle w:val="InternetLink"/>
                </w:rPr>
                <w:t>INFORMATION ON THE COMPANY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76</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4A.</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6">
              <w:r>
                <w:rPr>
                  <w:rStyle w:val="InternetLink"/>
                </w:rPr>
                <w:t>UNRESOLVED STAFF COMMENTS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120</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7">
              <w:r>
                <w:rPr>
                  <w:rStyle w:val="InternetLink"/>
                </w:rPr>
                <w:t>OPERATING AND FINANCIAL REVIEW AND PROSPECTS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120</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8">
              <w:r>
                <w:rPr>
                  <w:rStyle w:val="InternetLink"/>
                </w:rPr>
                <w:t>DIRECTORS, SENIOR MANAGEMENT AND EMPLOYEES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139</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9">
              <w:r>
                <w:rPr>
                  <w:rStyle w:val="InternetLink"/>
                </w:rPr>
                <w:t>MAJOR SHAREHOLDERS AND RELATED PARTY TRANSACTIONS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0">
              <w:r>
                <w:rPr>
                  <w:rStyle w:val="InternetLink"/>
                </w:rPr>
                <w:t>FINANCIAL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153</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1">
              <w:r>
                <w:rPr>
                  <w:rStyle w:val="InternetLink"/>
                </w:rPr>
                <w:t>THE OFFER AND LISTING</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154</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2">
              <w:r>
                <w:rPr>
                  <w:rStyle w:val="InternetLink"/>
                </w:rPr>
                <w:t>ADDITIONAL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155</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3">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162</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4">
              <w:r>
                <w:rPr>
                  <w:rStyle w:val="InternetLink"/>
                </w:rPr>
                <w:t>DESCRIPTION OF SECURITIES OTHER THAN EQUITY SECURITIES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164</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hyperlink w:anchor="rom36361_15">
              <w:r>
                <w:rPr>
                  <w:rStyle w:val="InternetLink"/>
                  <w:b/>
                  <w:u w:val="single"/>
                </w:rPr>
                <w:t>PART II.</w:t>
              </w:r>
            </w:hyperlink>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6">
              <w:r>
                <w:rPr>
                  <w:rStyle w:val="InternetLink"/>
                </w:rPr>
                <w:t>DEFAULTS, DIVIDEND ARREARAGES AND DELINQUENCIES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7">
              <w:r>
                <w:rPr>
                  <w:rStyle w:val="InternetLink"/>
                </w:rPr>
                <w:t>MATERIAL MODIFICATIONS TO THE RIGHTS OF SECURITY HOLDERS AND USE OF PROCEEDS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8">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167</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16A.</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19">
              <w:r>
                <w:rPr>
                  <w:rStyle w:val="InternetLink"/>
                </w:rPr>
                <w:t>AUDIT COMMITTEE FINANCIAL EXPERT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167</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16B.</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0">
              <w:r>
                <w:rPr>
                  <w:rStyle w:val="InternetLink"/>
                </w:rPr>
                <w:t>CODE OF ETHICS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168</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16C.</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1">
              <w:r>
                <w:rPr>
                  <w:rStyle w:val="InternetLink"/>
                </w:rPr>
                <w:t>PRINCIPAL ACCOUNTANT FEES AND SERVICES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168</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16D.</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2">
              <w:r>
                <w:rPr>
                  <w:rStyle w:val="InternetLink"/>
                </w:rPr>
                <w:t>EXEMPTIONS FROM THE LISTING STANDARDS FOR AUDIT COMMITTEES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168</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16E.</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3">
              <w:r>
                <w:rPr>
                  <w:rStyle w:val="InternetLink"/>
                </w:rPr>
                <w:t>PURCHASES OF EQUITY SECURITIES BY THE ISSUER AND AFFILIATED PURCHASERS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168</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16F.</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4">
              <w:r>
                <w:rPr>
                  <w:rStyle w:val="InternetLink"/>
                </w:rPr>
                <w:t>CHANGE IN REGISTRANT’S CERTIFYING ACCOUNTANT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169</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16G.</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5">
              <w:r>
                <w:rPr>
                  <w:rStyle w:val="InternetLink"/>
                </w:rPr>
                <w:t>CORPORATE GOVERNANCE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169</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16H.</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6">
              <w:r>
                <w:rPr>
                  <w:rStyle w:val="InternetLink"/>
                </w:rPr>
                <w:t>MINE SAFETY DISCLOSURE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169</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16I.</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7">
              <w:r>
                <w:rPr>
                  <w:rStyle w:val="InternetLink"/>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169</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16J.</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8">
              <w:r>
                <w:rPr>
                  <w:rStyle w:val="InternetLink"/>
                </w:rPr>
                <w:t>INSIDER TRADING POLICIES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170</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16K.</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29">
              <w:r>
                <w:rPr>
                  <w:rStyle w:val="InternetLink"/>
                </w:rPr>
                <w:t>CYBERSECURITY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170</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hyperlink w:anchor="rom36361_30">
              <w:r>
                <w:rPr>
                  <w:rStyle w:val="InternetLink"/>
                  <w:b/>
                  <w:u w:val="single"/>
                </w:rPr>
                <w:t>PART III.</w:t>
              </w:r>
            </w:hyperlink>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sz w:val="4"/>
                <w:szCs w:val="4"/>
              </w:rPr>
            </w:pPr>
            <w:r>
              <w:rPr>
                <w:sz w:val="4"/>
                <w:szCs w:val="4"/>
              </w:rPr>
            </w:r>
          </w:p>
        </w:tc>
        <w:tc>
          <w:tcPr>
            <w:tcW w:w="8444"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17.</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31">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172</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18.</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32">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172</w:t>
            </w:r>
          </w:p>
        </w:tc>
        <w:tc>
          <w:tcPr>
            <w:tcW w:w="76"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19.</w:t>
            </w:r>
          </w:p>
        </w:tc>
        <w:tc>
          <w:tcPr>
            <w:tcW w:w="60" w:type="dxa"/>
            <w:tcBorders/>
            <w:vAlign w:val="center"/>
          </w:tcPr>
          <w:p>
            <w:pPr>
              <w:pStyle w:val="TableContents"/>
              <w:bidi w:val="0"/>
              <w:spacing w:before="0" w:after="283"/>
              <w:jc w:val="left"/>
              <w:rPr/>
            </w:pPr>
            <w:r>
              <w:rPr/>
              <w:t> </w:t>
            </w:r>
          </w:p>
        </w:tc>
        <w:tc>
          <w:tcPr>
            <w:tcW w:w="8384" w:type="dxa"/>
            <w:tcBorders/>
            <w:vAlign w:val="center"/>
          </w:tcPr>
          <w:p>
            <w:pPr>
              <w:pStyle w:val="TableContents"/>
              <w:bidi w:val="0"/>
              <w:spacing w:before="0" w:after="283"/>
              <w:jc w:val="left"/>
              <w:rPr/>
            </w:pPr>
            <w:hyperlink w:anchor="rom36361_33">
              <w:r>
                <w:rPr>
                  <w:rStyle w:val="InternetLink"/>
                </w:rPr>
                <w:t>EXHIBITS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172</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CONVENTIONS THAT APPLY TO THIS ANNUAL REPORT ON FORM 20-F </w:t>
      </w:r>
    </w:p>
    <w:p>
      <w:pPr>
        <w:pStyle w:val="TextBody"/>
        <w:bidi w:val="0"/>
        <w:spacing w:before="120" w:after="0"/>
        <w:jc w:val="left"/>
        <w:rPr>
          <w:rFonts w:ascii="Times New Roman" w:hAnsi="Times New Roman"/>
          <w:sz w:val="20"/>
        </w:rPr>
      </w:pPr>
      <w:r>
        <w:rPr>
          <w:rFonts w:ascii="Times New Roman" w:hAnsi="Times New Roman"/>
          <w:sz w:val="20"/>
        </w:rPr>
        <w:t xml:space="preserve">Except where the context otherwise requires, references in this annual report to: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pPr>
            <w:r>
              <w:rPr/>
              <w:t>“</w:t>
            </w:r>
            <w:r>
              <w:rPr>
                <w:rFonts w:ascii="Times New Roman" w:hAnsi="Times New Roman"/>
                <w:sz w:val="20"/>
              </w:rPr>
              <w:t xml:space="preserve">ADAS” are to advanced driver assistance systems, which are designed to assist drivers in driving and parking functions;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pPr>
            <w:r>
              <w:rPr/>
              <w:t>“</w:t>
            </w:r>
            <w:r>
              <w:rPr>
                <w:rFonts w:ascii="Times New Roman" w:hAnsi="Times New Roman"/>
                <w:sz w:val="20"/>
              </w:rPr>
              <w:t xml:space="preserve">ADSs” are to American depositary shares, each of which represents two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affiliate shareholders of the Group VIEs” are to (i) the individual shareholders of the Group VIEs, (ii) Kuntu Technology, which is ultimately beneficially owned by Ms. Chuxu Li; (iii) Guangzhou Xuetao; and (iv) the individual shareholder of Guangzhou Xuetao, being Mr. Yeqing Zheng. For avoidance of doubt, affiliate shareholders of the Group VIEs do not include (i) Xiaopeng Technology, which is our subsidiary and holds 50% of equity interest in Zhipeng IoV, or (ii) Xiaopeng Smart Mobility, which is our subsidiary and holds 50% of equity interest in Yidian Smart Mobility;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pPr>
            <w:r>
              <w:rPr/>
              <w:t>“</w:t>
            </w:r>
            <w:r>
              <w:rPr>
                <w:rFonts w:ascii="Times New Roman" w:hAnsi="Times New Roman"/>
                <w:sz w:val="20"/>
              </w:rPr>
              <w:t xml:space="preserve">App” are to computer program designed to run on smartphones and other mobile services;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pPr>
            <w:r>
              <w:rPr/>
              <w:t>“</w:t>
            </w:r>
            <w:r>
              <w:rPr>
                <w:rFonts w:ascii="Times New Roman" w:hAnsi="Times New Roman"/>
                <w:sz w:val="20"/>
              </w:rPr>
              <w:t xml:space="preserve">BIS” are to the Bureau of Industry and Security of the U.S. Department of Commerce;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Chengxing Zhidong” are to Guangzhou Chengxingzhidong Motors Technology Co., Ltd.* (</w:t>
            </w:r>
            <w:r>
              <w:rPr>
                <w:rFonts w:eastAsia="pmingliu"/>
                <w:sz w:val="18"/>
              </w:rPr>
              <w:t>广州橙行智动汽车科技有限公司</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China” and the “PRC” are to the People’s Republic of China, including Hong Kong Special Administrative Region and Macau Special Administrative Region, unless referencing specific laws and regulations adopted by the PRC and other legal or tax matters only applicable to Chinese Mainland; “PRC subsidiaries” and “PRC entities” refer to entities established in accordance with PRC laws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CLTC” are to China Light-Duty Vehicle Test Cycle, which is developed by the China Automotive Technology &amp; Research Center to replace European testing procedures for fuel/energy consumption and emissions;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Deposit Agreement” are to the agreement among the Company, the depositary and the holders and beneficial owners of ADSs in relation to the deposit of Class A ordinary shares for the issuance of ADSs;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DiDi” are to DiDi Global Inc., an exempted company with limited liability incorporated under the Laws of the Cayman Islands and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DiDi Share Purchase Agreement” are to the Share Purchase Agreement, dated August 27, 2023, among the Company, DiDi and Da Vinci Auto Co. Limited in relation to the Company’s acquisition of the entire issued share capital of Xiaoju Smart Auto Co. Limited, in consideration for the Company’s newly issued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DiDi Strategic Cooperation Agreement” are to the Strategic Cooperation Agreement, dated August 27, 2023, between the Company and DiDi relating to cooperation on, among others, the research and development of an A-class automobile vehicle;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pPr>
            <w:r>
              <w:rPr/>
              <w:t>“</w:t>
            </w:r>
            <w:r>
              <w:rPr>
                <w:rFonts w:ascii="Times New Roman" w:hAnsi="Times New Roman"/>
                <w:sz w:val="20"/>
              </w:rPr>
              <w:t xml:space="preserve">Dogotix” are to Dogotix Inc., a company incorporated in the Cayman Islands with limited liability;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w:t>
            </w:r>
            <w:r>
              <w:rPr>
                <w:rFonts w:ascii="Times New Roman" w:hAnsi="Times New Roman"/>
                <w:sz w:val="20"/>
              </w:rPr>
              <w:t xml:space="preserve">E/E architecture” or “EEA” are to electrical/electronic architecture;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E/E Architecture Technical Collaboration” are to the technical collaborations between the Company and the Volkswagen Group based on the Framework Agreement on E/E Architecture Technical Collaboration, dated April 17, 2024, and also the Master Agreement on E/E Collaboration, dated July 22, 2024.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pPr>
            <w:r>
              <w:rPr/>
              <w:t>“</w:t>
            </w:r>
            <w:r>
              <w:rPr>
                <w:rFonts w:ascii="Times New Roman" w:hAnsi="Times New Roman"/>
                <w:sz w:val="20"/>
              </w:rPr>
              <w:t xml:space="preserve">EREV” are to the extended-range electric vehicle.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pPr>
            <w:r>
              <w:rPr/>
              <w:t>“</w:t>
            </w:r>
            <w:r>
              <w:rPr>
                <w:rFonts w:ascii="Times New Roman" w:hAnsi="Times New Roman"/>
                <w:sz w:val="20"/>
              </w:rPr>
              <w:t xml:space="preserve">EV” or “electric vehicle” are to the battery electric vehicle used for the carriage of passengers;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GIIA” are to Guangdong Intelligent Insurance Agent Co., Ltd.* (</w:t>
            </w:r>
            <w:r>
              <w:rPr>
                <w:rFonts w:eastAsia="pmingliu"/>
                <w:sz w:val="18"/>
              </w:rPr>
              <w:t>广东智选保险代理有限公司</w:t>
            </w:r>
            <w:r>
              <w:rPr>
                <w:rFonts w:ascii="Times New Roman" w:hAnsi="Times New Roman"/>
                <w:sz w:val="20"/>
              </w:rPr>
              <w:t>, formerly known as Qingdao Miaobao Insurance Agency Co., Ltd. (</w:t>
            </w:r>
            <w:r>
              <w:rPr>
                <w:rFonts w:eastAsia="pmingliu"/>
                <w:sz w:val="18"/>
              </w:rPr>
              <w:t>青岛妙保保险代理有限公司</w:t>
            </w:r>
            <w:r>
              <w:rPr>
                <w:rFonts w:ascii="Times New Roman" w:hAnsi="Times New Roman"/>
                <w:sz w:val="20"/>
              </w:rPr>
              <w:t xml:space="preserve">));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pPr>
            <w:r>
              <w:rPr/>
              <w:t>“</w:t>
            </w:r>
            <w:r>
              <w:rPr>
                <w:rFonts w:ascii="Times New Roman" w:hAnsi="Times New Roman"/>
                <w:sz w:val="20"/>
              </w:rPr>
              <w:t xml:space="preserve">the Group” are to XPeng Inc., the Group VIEs and their respective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Group VIEs” are to (i) Zhipeng IoV, (ii) Yidian Smart Mobility, (iii) Xintu Technology and (iv) GIIA. Each of Zhipeng IoV, Yidian Smart Mobility, Xintu Technology and GIIA is a “Group VIE”;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pPr>
            <w:r>
              <w:rPr/>
              <w:t>“</w:t>
            </w:r>
            <w:r>
              <w:rPr>
                <w:rFonts w:ascii="Times New Roman" w:hAnsi="Times New Roman"/>
                <w:sz w:val="20"/>
              </w:rPr>
              <w:t>Guangzhou Xuetao” are to Guangzhou Xuetao Enterprise Management Co., Ltd.* (</w:t>
            </w:r>
            <w:r>
              <w:rPr>
                <w:rFonts w:eastAsia="pmingliu"/>
                <w:sz w:val="18"/>
              </w:rPr>
              <w:t>广州雪涛企业管理有限公司</w:t>
            </w:r>
            <w:r>
              <w:rPr>
                <w:rFonts w:ascii="Times New Roman" w:hAnsi="Times New Roman"/>
                <w:sz w:val="20"/>
              </w:rPr>
              <w:t xml:space="preserve">);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pPr>
            <w:r>
              <w:rPr/>
              <w:t>“</w:t>
            </w:r>
            <w:r>
              <w:rPr>
                <w:rFonts w:ascii="Times New Roman" w:hAnsi="Times New Roman"/>
                <w:sz w:val="20"/>
              </w:rPr>
              <w:t xml:space="preserve">HD” are to high definition;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pPr>
            <w:r>
              <w:rPr/>
              <w:t>“</w:t>
            </w:r>
            <w:r>
              <w:rPr>
                <w:rFonts w:ascii="Times New Roman" w:hAnsi="Times New Roman"/>
                <w:sz w:val="20"/>
              </w:rPr>
              <w:t xml:space="preserve">HFCA Act” are to the Holding Foreign Companies Accountable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Hong Kong Listing Rules” are to the Rules Governing the Listing of Securities on The Stock Exchange of Hong Kong Limited, as amended or supplemented from time to time;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pPr>
            <w:r>
              <w:rPr/>
              <w:t>“</w:t>
            </w:r>
            <w:r>
              <w:rPr>
                <w:rFonts w:ascii="Times New Roman" w:hAnsi="Times New Roman"/>
                <w:sz w:val="20"/>
              </w:rPr>
              <w:t xml:space="preserve">ICE” are to internal combustion engine;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individual shareholders of the Group VIEs” are to (i) Mr. Zhiyuan Chen, who holds 50% of equity interest in Zhipeng IoV, and (ii) Mr. Dawu Zhao, who holds 50% of equity interest in Yidian Smart Mobility;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pPr>
            <w:r>
              <w:rPr/>
              <w:t>“</w:t>
            </w:r>
            <w:r>
              <w:rPr>
                <w:rFonts w:ascii="Times New Roman" w:hAnsi="Times New Roman"/>
                <w:sz w:val="20"/>
              </w:rPr>
              <w:t>Kuntu Technology” are to Guangzhou Kuntu Technology Co., Ltd.* (</w:t>
            </w:r>
            <w:r>
              <w:rPr>
                <w:rFonts w:eastAsia="pmingliu"/>
                <w:sz w:val="18"/>
              </w:rPr>
              <w:t>广州鲲图科技有限公司</w:t>
            </w:r>
            <w:r>
              <w:rPr>
                <w:rFonts w:ascii="Times New Roman" w:hAnsi="Times New Roman"/>
                <w:sz w:val="20"/>
              </w:rPr>
              <w:t xml:space="preserve">);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pPr>
            <w:r>
              <w:rPr/>
              <w:t>“</w:t>
            </w:r>
            <w:r>
              <w:rPr>
                <w:rFonts w:ascii="Times New Roman" w:hAnsi="Times New Roman"/>
                <w:sz w:val="20"/>
              </w:rPr>
              <w:t xml:space="preserve">LIDAR” are to light detection and ranging;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pPr>
            <w:r>
              <w:rPr/>
              <w:t>“</w:t>
            </w:r>
            <w:r>
              <w:rPr>
                <w:rFonts w:ascii="Times New Roman" w:hAnsi="Times New Roman"/>
                <w:sz w:val="20"/>
              </w:rPr>
              <w:t xml:space="preserve">MIIT” are to the Ministry of Industry and Information Technology of the PRC;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pPr>
            <w:r>
              <w:rPr/>
              <w:t>“</w:t>
            </w:r>
            <w:r>
              <w:rPr>
                <w:rFonts w:ascii="Times New Roman" w:hAnsi="Times New Roman"/>
                <w:sz w:val="20"/>
              </w:rPr>
              <w:t xml:space="preserve">MOF” are to the Ministry of Finance of the PRC;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pPr>
            <w:r>
              <w:rPr/>
              <w:t>“</w:t>
            </w:r>
            <w:r>
              <w:rPr>
                <w:rFonts w:ascii="Times New Roman" w:hAnsi="Times New Roman"/>
                <w:sz w:val="20"/>
              </w:rPr>
              <w:t xml:space="preserve">MOST” are to the Ministry of Science and Technology of the PRC;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pPr>
            <w:r>
              <w:rPr/>
              <w:t>“</w:t>
            </w:r>
            <w:r>
              <w:rPr>
                <w:rFonts w:ascii="Times New Roman" w:hAnsi="Times New Roman"/>
                <w:sz w:val="20"/>
              </w:rPr>
              <w:t xml:space="preserve">MPV” are to multi-purpose vehicle;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NEDC” are to New European Driving Cycle, which is designed to assess the emission levels of car engines and fuel economy in passenger vehicles;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NEV” are to new energy passenger vehicles, comprising battery electrics vehicles, plug-in hybrid electric vehicles (including EREV) and fuel cell electric vehicles;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pPr>
            <w:r>
              <w:rPr/>
              <w:t>“</w:t>
            </w:r>
            <w:r>
              <w:rPr>
                <w:rFonts w:ascii="Times New Roman" w:hAnsi="Times New Roman"/>
                <w:sz w:val="20"/>
              </w:rPr>
              <w:t xml:space="preserve">OEM” are to automotive original equipment manufacturer;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ordinary shares” are to our Class A ordinary shares, US$0.00001 par value per share and Class B ordinary shares, US$0.00001 par value per share; each Class A ordinary share is entitled to one vote; and each Class B ordinary share is entitled to 10 votes;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pPr>
            <w:r>
              <w:rPr/>
              <w:t>“</w:t>
            </w:r>
            <w:r>
              <w:rPr>
                <w:rFonts w:ascii="Times New Roman" w:hAnsi="Times New Roman"/>
                <w:sz w:val="20"/>
              </w:rPr>
              <w:t xml:space="preserve">OTA” are to Over-The-Air technology;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r>
              <w:rPr/>
              <w:t>“</w:t>
            </w:r>
            <w:r>
              <w:rPr>
                <w:rFonts w:ascii="Times New Roman" w:hAnsi="Times New Roman"/>
                <w:sz w:val="20"/>
              </w:rPr>
              <w:t xml:space="preserve">PCAOB” are to the U.S. Public Company Accounting Oversight Board;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pPr>
            <w:r>
              <w:rPr/>
              <w:t>“</w:t>
            </w:r>
            <w:r>
              <w:rPr>
                <w:rFonts w:ascii="Times New Roman" w:hAnsi="Times New Roman"/>
                <w:sz w:val="20"/>
              </w:rPr>
              <w:t xml:space="preserve">RMB” or “Renminbi” are to the legal currency of China;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pPr>
            <w:r>
              <w:rPr/>
              <w:t>“</w:t>
            </w:r>
            <w:r>
              <w:rPr>
                <w:rFonts w:ascii="Times New Roman" w:hAnsi="Times New Roman"/>
                <w:sz w:val="20"/>
              </w:rPr>
              <w:t xml:space="preserve">SAFE” are to State Administration of Foreign Exchange of the PRC;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Smart EV(s) and NEV(s)” are to EV(s) and NEV(s) with a rich array of connectivity, advanced driver assistance systems and smart technology features;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Subsidiaries” are to an entity controlled by XPeng Inc. and consolidated with XPeng Inc.’s results of operations due to XPeng Inc.’s equity interest in such entity, instead of contractual arrangements; for avoidance of doubt, the Group VIEs are not subsidiaries of XPeng Inc.;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pPr>
            <w:r>
              <w:rPr/>
              <w:t>“</w:t>
            </w:r>
            <w:r>
              <w:rPr>
                <w:rFonts w:ascii="Times New Roman" w:hAnsi="Times New Roman"/>
                <w:sz w:val="20"/>
              </w:rPr>
              <w:t xml:space="preserve">SUV” are to sport utility vehicle;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pPr>
            <w:r>
              <w:rPr/>
              <w:t>“</w:t>
            </w:r>
            <w:r>
              <w:rPr>
                <w:rFonts w:ascii="Times New Roman" w:hAnsi="Times New Roman"/>
                <w:sz w:val="20"/>
              </w:rPr>
              <w:t xml:space="preserve">US$,” “U.S. dollars,” or “dollars” are to the legal currency of the United States;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pPr>
            <w:r>
              <w:rPr/>
              <w:t>“</w:t>
            </w:r>
            <w:r>
              <w:rPr>
                <w:rFonts w:ascii="Times New Roman" w:hAnsi="Times New Roman"/>
                <w:sz w:val="20"/>
              </w:rPr>
              <w:t xml:space="preserve">VMTUD” are to vehicle model technology under development;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Volkswagen China” are to Volkswagen (China) Investment Co., Ltd. (</w:t>
            </w:r>
            <w:r>
              <w:rPr>
                <w:rFonts w:eastAsia="pmingliu"/>
                <w:sz w:val="18"/>
              </w:rPr>
              <w:t>大众汽车（中国）投资有限公司</w:t>
            </w:r>
            <w:r>
              <w:rPr>
                <w:rFonts w:ascii="Times New Roman" w:hAnsi="Times New Roman"/>
                <w:sz w:val="20"/>
              </w:rPr>
              <w:t xml:space="preserve">), a company incorporated under the laws of the PRC;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Volkswagen Group” are to Volkswagen AG, a company incorporated under the laws of Germany with limited liability, the shares of which are listed on Frankfurt Stock Exchange in Germany and all of its subsidiaries (including Volkswagen China and Volkswagen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Volkswagen Investment” are to the investment by the Volkswagen Group pursuant to the VW Share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Volkswagen Nominee” are to Volkswagen Finance Luxemburg S.A., a company incorporated under the laws of Luxembourg;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VW Share Purchase Agreement” are to the Share Purchase Agreement, dated July 26, 2023, among the Company, Volkswagen China and Volkswagen Nominee, pursuant to which Volkswagen China (or Volkswagen Nominee) agreed to subscribe 4.99% of the total issued and outstanding ordinary shares of the Company (with a cap of 94,666,666 Class A ordinary shares) upon the completion of the Volkswagen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VW Technical Framework Agreement” are to the Technical Framework Agreement, dated July 26, 2023, between Xiaopeng Motors and Volkswagen China in respect of the strategic technical collaboration between the Company and the Volkswagen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Xiaopeng Smart Mobility” are to Guangzhou Xiaopeng Smart Mobility Technology Co., Ltd.* (</w:t>
            </w:r>
            <w:r>
              <w:rPr>
                <w:rFonts w:eastAsia="pmingliu"/>
                <w:sz w:val="18"/>
              </w:rPr>
              <w:t>广州小鹏智慧出行科技有限公司</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Xiaopeng Motors” are to Guangdong Xiaopeng Motors Technology Group Co., Ltd.* (</w:t>
            </w:r>
            <w:r>
              <w:rPr>
                <w:rFonts w:eastAsia="pmingliu"/>
                <w:sz w:val="18"/>
              </w:rPr>
              <w:t>广东小鹏汽车科技集团有限公司</w:t>
            </w:r>
            <w:r>
              <w:rPr>
                <w:rFonts w:ascii="Times New Roman" w:hAnsi="Times New Roman"/>
                <w:sz w:val="20"/>
              </w:rPr>
              <w:t>), formerly known as Guangdong Xiaopeng Motors Technology Co., Ltd.* (</w:t>
            </w:r>
            <w:r>
              <w:rPr>
                <w:rFonts w:eastAsia="pmingliu"/>
                <w:sz w:val="18"/>
              </w:rPr>
              <w:t>广东小鹏汽车科技有限公司</w:t>
            </w:r>
            <w:r>
              <w:rPr>
                <w:rFonts w:ascii="Times New Roman" w:hAnsi="Times New Roman"/>
                <w:sz w:val="20"/>
              </w:rPr>
              <w:t xml:space="preserve">);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pPr>
            <w:r>
              <w:rPr/>
              <w:t>“</w:t>
            </w:r>
            <w:r>
              <w:rPr>
                <w:rFonts w:ascii="Times New Roman" w:hAnsi="Times New Roman"/>
                <w:sz w:val="20"/>
              </w:rPr>
              <w:t>Xiaopeng Motors Sales” are to Xiaopeng Motors Sales Co., Ltd.* (</w:t>
            </w:r>
            <w:r>
              <w:rPr>
                <w:rFonts w:eastAsia="pmingliu"/>
                <w:sz w:val="18"/>
              </w:rPr>
              <w:t>小鹏汽车销售有限公司</w:t>
            </w:r>
            <w:r>
              <w:rPr>
                <w:rFonts w:ascii="Times New Roman" w:hAnsi="Times New Roman"/>
                <w:sz w:val="20"/>
              </w:rPr>
              <w:t xml:space="preserve">);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pPr>
            <w:r>
              <w:rPr/>
              <w:t>“</w:t>
            </w:r>
            <w:r>
              <w:rPr>
                <w:rFonts w:ascii="Times New Roman" w:hAnsi="Times New Roman"/>
                <w:sz w:val="20"/>
              </w:rPr>
              <w:t>Xiaopeng Technology” are to Guangzhou Xiaopeng Motors Technology Co., Ltd.* (</w:t>
            </w:r>
            <w:r>
              <w:rPr>
                <w:rFonts w:eastAsia="pmingliu"/>
                <w:sz w:val="18"/>
              </w:rPr>
              <w:t>广州小鹏汽车科技有限公司</w:t>
            </w:r>
            <w:r>
              <w:rPr>
                <w:rFonts w:ascii="Times New Roman" w:hAnsi="Times New Roman"/>
                <w:sz w:val="20"/>
              </w:rPr>
              <w:t xml:space="preserve">);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pPr>
            <w:r>
              <w:rPr/>
              <w:t>“</w:t>
            </w:r>
            <w:r>
              <w:rPr>
                <w:rFonts w:ascii="Times New Roman" w:hAnsi="Times New Roman"/>
                <w:sz w:val="20"/>
              </w:rPr>
              <w:t>Xintu Technology” are to Guangzhou Xintu Technology Co., Ltd.* (</w:t>
            </w:r>
            <w:r>
              <w:rPr>
                <w:rFonts w:eastAsia="pmingliu"/>
                <w:sz w:val="18"/>
              </w:rPr>
              <w:t>广州欣图科技有限公司</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XNGP” are to XPENG Navigation Guided Pilot, which is our full-scenario ADAS solution offering advanced driver assistance;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pPr>
            <w:r>
              <w:rPr/>
              <w:t>“</w:t>
            </w:r>
            <w:r>
              <w:rPr>
                <w:rFonts w:ascii="Times New Roman" w:hAnsi="Times New Roman"/>
                <w:sz w:val="20"/>
              </w:rPr>
              <w:t xml:space="preserve">XOS Tianji” are to our next-generation smart in-car operating system;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pPr>
            <w:r>
              <w:rPr/>
              <w:t>“</w:t>
            </w:r>
            <w:r>
              <w:rPr>
                <w:rFonts w:ascii="Times New Roman" w:hAnsi="Times New Roman"/>
                <w:sz w:val="20"/>
              </w:rPr>
              <w:t xml:space="preserve">XPENG,” “we,” “us,” “our company” and “our” are to XPeng Inc. and/or its subsidiaries, as the context requires;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pPr>
            <w:r>
              <w:rPr/>
              <w:t>“</w:t>
            </w:r>
            <w:r>
              <w:rPr>
                <w:rFonts w:ascii="Times New Roman" w:hAnsi="Times New Roman"/>
                <w:sz w:val="20"/>
              </w:rPr>
              <w:t xml:space="preserve">XPower” are to our 800V electric drive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Yidian Smart Mobility” are to Guangzhou Yidian Smart Mobility Technology Co., Ltd.* (</w:t>
            </w:r>
            <w:r>
              <w:rPr>
                <w:rFonts w:eastAsia="pmingliu"/>
                <w:sz w:val="18"/>
              </w:rPr>
              <w:t>广州易点智慧出行科技有限公司</w:t>
            </w:r>
            <w:r>
              <w:rPr>
                <w:rFonts w:ascii="Times New Roman" w:hAnsi="Times New Roman"/>
                <w:sz w:val="20"/>
              </w:rPr>
              <w:t xml:space="preserve">);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pPr>
            <w:r>
              <w:rPr/>
              <w:t>“</w:t>
            </w:r>
            <w:r>
              <w:rPr>
                <w:rFonts w:ascii="Times New Roman" w:hAnsi="Times New Roman"/>
                <w:sz w:val="20"/>
              </w:rPr>
              <w:t>Zhaoqing Xiaopeng” are to Zhaoqing Xiaopeng Motors Co., Ltd.* (</w:t>
            </w:r>
            <w:r>
              <w:rPr>
                <w:rFonts w:eastAsia="pmingliu"/>
                <w:sz w:val="18"/>
              </w:rPr>
              <w:t>肇庆小鹏汽车有限公司</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Zhaoqing Xiaopeng New Energy” are to Zhaoqing Xiaopeng New Energy Investment Co., Ltd.* (</w:t>
            </w:r>
            <w:r>
              <w:rPr>
                <w:rFonts w:eastAsia="pmingliu"/>
                <w:sz w:val="18"/>
              </w:rPr>
              <w:t>肇庆小鹏新能源投资有限公司</w:t>
            </w:r>
            <w:r>
              <w:rPr>
                <w:rFonts w:ascii="Times New Roman" w:hAnsi="Times New Roman"/>
                <w:sz w:val="20"/>
              </w:rPr>
              <w:t xml:space="preserve">);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left"/>
              <w:rPr/>
            </w:pPr>
            <w:r>
              <w:rPr/>
              <w:t>“</w:t>
            </w:r>
            <w:r>
              <w:rPr>
                <w:rFonts w:ascii="Times New Roman" w:hAnsi="Times New Roman"/>
                <w:sz w:val="20"/>
              </w:rPr>
              <w:t>Zhipeng IoV” are to Guangzhou Zhipeng Internet of Vehicle Technology Co., Ltd.* (</w:t>
            </w:r>
            <w:r>
              <w:rPr>
                <w:rFonts w:eastAsia="pmingliu"/>
                <w:sz w:val="18"/>
              </w:rPr>
              <w:t>广州智鹏车联网科技有限公司</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Zhipeng Kongjian” are to Jiangsu Zhipeng Kongjian Information Technology Co., Ltd.* (</w:t>
            </w:r>
            <w:r>
              <w:rPr>
                <w:rFonts w:eastAsia="pmingliu"/>
                <w:sz w:val="18"/>
              </w:rPr>
              <w:t>江苏智鹏空间信息技术有限公司</w:t>
            </w:r>
            <w:r>
              <w:rPr>
                <w:rFonts w:ascii="Times New Roman" w:hAnsi="Times New Roman"/>
                <w:sz w:val="20"/>
              </w:rPr>
              <w:t>, formerly known as Jiangsu Zhitu Technology Co., Ltd.* (</w:t>
            </w:r>
            <w:r>
              <w:rPr>
                <w:rFonts w:eastAsia="pmingliu"/>
                <w:sz w:val="18"/>
              </w:rPr>
              <w:t>江苏智途科技股份有限公司</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2019 Plan” are to the equity incentive plan of our company approved and adopted in June 2020, as amended and restated in August 2020 and June 2021; and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pPr>
            <w:r>
              <w:rPr/>
              <w:t>“</w:t>
            </w:r>
            <w:r>
              <w:rPr>
                <w:rFonts w:ascii="Times New Roman" w:hAnsi="Times New Roman"/>
                <w:sz w:val="20"/>
              </w:rPr>
              <w:t xml:space="preserve">2025 Scheme” are to the equity incentive plan of our company approved and adopted in June 2025.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40"/>
        <w:gridCol w:w="758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English name of this company, as applicable, has been translated from its Chinese name.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on Form 20-F contains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 forward-looking statements included in this annual report relate to, among others: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goal and strategies;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110"/>
        <w:gridCol w:w="60"/>
        <w:gridCol w:w="1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expansion plans;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development, financial condition and results of operations;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changes in our revenues, costs or expenditures;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trends in, and size of, China’s EV market;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demand for, and market acceptance of, our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relationships with customers, suppliers, third-party service providers, strategic partners and other stakeholders;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for, among other things, capital, technology and skilled personnel, in our industry;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pandemics on our business, results of operations and financial condition;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regulatory and operating conditions in the industry and geographical markets in which we operate; and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business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future events and financial trends that we believe may affect our financial condition, results of operations, business strategy and financial needs.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these statements in conjunction with the risks disclosed in “Item 3. Key Information—D.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 </w:t>
      </w:r>
    </w:p>
    <w:p>
      <w:pPr>
        <w:pStyle w:val="TextBody"/>
        <w:bidi w:val="0"/>
        <w:spacing w:before="480" w:after="0"/>
        <w:jc w:val="center"/>
        <w:rPr>
          <w:rFonts w:ascii="Times New Roman" w:hAnsi="Times New Roman"/>
          <w:b/>
          <w:sz w:val="20"/>
        </w:rPr>
      </w:pPr>
      <w:bookmarkStart w:id="3" w:name="rom36361_1"/>
      <w:bookmarkEnd w:id="3"/>
      <w:r>
        <w:rPr>
          <w:rFonts w:ascii="Times New Roman" w:hAnsi="Times New Roman"/>
          <w:b/>
          <w:sz w:val="20"/>
        </w:rPr>
        <w:t xml:space="preserve">PART I.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905"/>
        <w:gridCol w:w="6320"/>
      </w:tblGrid>
      <w:tr>
        <w:trPr/>
        <w:tc>
          <w:tcPr>
            <w:tcW w:w="905" w:type="dxa"/>
            <w:tcBorders/>
            <w:vAlign w:val="center"/>
          </w:tcPr>
          <w:p>
            <w:pPr>
              <w:pStyle w:val="TableContents"/>
              <w:bidi w:val="0"/>
              <w:spacing w:before="0" w:after="283"/>
              <w:jc w:val="left"/>
              <w:rPr>
                <w:b/>
              </w:rPr>
            </w:pPr>
            <w:bookmarkStart w:id="4" w:name="rom36361_2"/>
            <w:bookmarkEnd w:id="4"/>
            <w:r>
              <w:rPr>
                <w:b/>
              </w:rPr>
              <w:t>ITEM 1.</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35" w:type="dxa"/>
        <w:jc w:val="left"/>
        <w:tblInd w:w="0" w:type="dxa"/>
        <w:tblLayout w:type="fixed"/>
        <w:tblCellMar>
          <w:top w:w="0" w:type="dxa"/>
          <w:left w:w="0" w:type="dxa"/>
          <w:bottom w:w="0" w:type="dxa"/>
          <w:right w:w="0" w:type="dxa"/>
        </w:tblCellMar>
      </w:tblPr>
      <w:tblGrid>
        <w:gridCol w:w="905"/>
        <w:gridCol w:w="4730"/>
      </w:tblGrid>
      <w:tr>
        <w:trPr/>
        <w:tc>
          <w:tcPr>
            <w:tcW w:w="905" w:type="dxa"/>
            <w:tcBorders/>
            <w:vAlign w:val="center"/>
          </w:tcPr>
          <w:p>
            <w:pPr>
              <w:pStyle w:val="TableContents"/>
              <w:bidi w:val="0"/>
              <w:spacing w:before="0" w:after="283"/>
              <w:jc w:val="left"/>
              <w:rPr>
                <w:b/>
              </w:rPr>
            </w:pPr>
            <w:bookmarkStart w:id="5" w:name="rom36361_3"/>
            <w:bookmarkEnd w:id="5"/>
            <w:r>
              <w:rPr>
                <w:b/>
              </w:rPr>
              <w:t>ITEM 2.</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905"/>
        <w:gridCol w:w="1970"/>
      </w:tblGrid>
      <w:tr>
        <w:trPr/>
        <w:tc>
          <w:tcPr>
            <w:tcW w:w="905" w:type="dxa"/>
            <w:tcBorders/>
            <w:vAlign w:val="center"/>
          </w:tcPr>
          <w:p>
            <w:pPr>
              <w:pStyle w:val="TableContents"/>
              <w:bidi w:val="0"/>
              <w:spacing w:before="0" w:after="283"/>
              <w:jc w:val="left"/>
              <w:rPr>
                <w:b/>
              </w:rPr>
            </w:pPr>
            <w:bookmarkStart w:id="6" w:name="rom36361_4"/>
            <w:bookmarkEnd w:id="6"/>
            <w:r>
              <w:rPr>
                <w:b/>
              </w:rPr>
              <w:t>ITEM 3.</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Corporate Structure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diagram illustrates our corporate structure as of March 31, 2026. Certain entities that are immaterial to our results of operations, business and financial condition are omitted. Except as otherwise specified, equity interests depicted in this diagram are held as to 100%.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5676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5676900"/>
                    </a:xfrm>
                    <a:prstGeom prst="rect">
                      <a:avLst/>
                    </a:prstGeom>
                  </pic:spPr>
                </pic:pic>
              </a:graphicData>
            </a:graphic>
          </wp:inline>
        </w:drawing>
      </w:r>
      <w:r>
        <w:rPr/>
        <w:t xml:space="preserve">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in our Class A ordinary shares and ADSs are purchasing equity interest in XPeng Inc.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Chengxing Zhidong and its subsidiaries are primarily involved in research and development, manufacturing and selling our Smart EVs and NEVs and providing after-sales services. One of Chengxing Zhidong’s subsidiaries, Zhaoqing Xiaopeng New Energy, holds an Enterprise Investment Project Filing Certificate of Guangdong Province for the Zhaoqing plant and has been listed in the Announcement of the Vehicle Manufacturers and Products issued by the MIIT, which enables it to be a qualified manufacturer of EVs.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(3)</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Guangdong Xiaopeng Motors Industry Holding Co., Ltd. and its subsidiaries are primarily involved in providing value-added services.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(4)</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equity interest in Zhipeng IoV is held by us, and Mr. Zhiyuan Chen holds the other 50% of the equity interest in Zhipeng IoV.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(5)</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equity interest in Yidian Smart Mobility is held by us, and Mr. Dawu Zhao holds the other 50% of the equity interest in Yidian Smart Mobility.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is wholly owned by Kuntu Technology. The ultimate holding company of Kuntu Technology is Guangzhou Chengpeng Technology Co., Ltd., in which Ms. Chuxu Li holds 100% of the equity interest.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(7)</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GIIA is wholly owned by Guangzhou Xuetao, and Mr. Yeqing Zheng, our vice president, holds 100% equity interest in Guangzhou Xuetao. </w:t>
            </w:r>
          </w:p>
        </w:tc>
      </w:tr>
    </w:tbl>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pPr>
            <w:r>
              <w:rPr/>
              <w:t>(8)</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Wholly held by XPeng Dogotix Holdings Limited through intermediary holding entities.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Guangdong Pengxing Smart Co., Ltd. and its subsidiaries are primarily involved in research and development of robots with human-robot interaction functions.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Contractual Arrangements with the Group VIEs and Their Shareholders </w:t>
      </w:r>
    </w:p>
    <w:p>
      <w:pPr>
        <w:pStyle w:val="TextBody"/>
        <w:bidi w:val="0"/>
        <w:spacing w:before="120" w:after="0"/>
        <w:jc w:val="left"/>
        <w:rPr>
          <w:rFonts w:ascii="Times New Roman" w:hAnsi="Times New Roman"/>
          <w:sz w:val="20"/>
        </w:rPr>
      </w:pPr>
      <w:r>
        <w:rPr>
          <w:rFonts w:ascii="Times New Roman" w:hAnsi="Times New Roman"/>
          <w:sz w:val="20"/>
        </w:rPr>
        <w:t xml:space="preserve">XPeng Inc. is a Cayman Islands holding company, and the Group’s operations are primarily conducted through its subsidiaries in China. XPeng Inc. controls these subsidiaries through Xiaopeng Motors, which is in turn wholly-owned by XPeng Inc.’s Hong Kong subsidiary, XPeng (Hong Kong) Limited. The Group also conducts certain non-core and non-essential operations through contractual arrangements with the Group VIEs. Holders of our ADSs and Class A ordinary shares do not hold direct shareholding in any operating entities that are Group VIEs or their subsidiaries, but instead hold equity interest in XPeng Inc. As used in this annual report, “XPENG,” “we,” “us,” “our company” or “our” refers to XPeng Inc. and/or its subsidiaries, and “the Group” refers to XPeng Inc., the Group VIEs and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Under the PRC laws and regulations, (i) the provision of value-added telecommunication service in the PRC is subject to foreign investment restrictions and license requirements, and therefore, we operate such business in China through Zhipeng IoV and Yidian Smart Mobility, which both operate our mobile Apps; (ii) the operation of land surface mobile surveying and preparation of true three-dimensional maps and navigation electronic maps is subject to foreign investment prohibitions and license requirements, and therefore, we operate such businesses in China through Xintu Technology and its subsidiary, Zhipeng Kongjian, which is primarily engaged in the operation of land surface mobile surveying and preparation of true three-dimensional maps and navigation electronic maps. We have applied for and received several surveying and mapping qualifications with respect to our business and will continue upgrading such qualifications; and (iii) the provision of insurance agency service in the PRC is subject to foreign investment restrictions and license requirements, and therefore, we operate such business in China through GIIA, which is primarily engaged in the business of providing insurance agency services. As such, the VIE structure provides investors with foreign investment access to China-based operating companies where the PRC laws and regulations either restrict or prohibit direct foreign investment in such companies. Investors may never hold equity interests in such Chinese operating companies.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series of contractual arrangements with each of Zhipeng IoV, Yidian Smart Mobility, Xintu Technology and GIIA, each a Group VIE, and its respective affiliate shareholders, including (i) power of attorney agreements, equity interest pledge agreements and loan agreements, which provide us with effective control over such Group VIEs; (ii) exclusive service agreements, which allow us to receive substantially all of the economic benefits from such Group VIEs; and (iii) exclusive option agreements, which provide us with exclusive options to purchase all or part of the equity interests in or all or part of the assets of or inject registered capital into such Group VIEs when and to the extent permitted by PRC law. For details of such contractual arrangements, see “Item 4. Information on the Company—C. Organizational Structure—Contractual Agreements with the Group VIEs and Their Shareholders.” As a result of these contractual arrangements, we maintain a controlling financial interest as the primary beneficiary of the Group VIEs for accounting purposes (as defined in US GAAP, ASC 810). We have consolidated their financial results in our consolidated financial statements without owning a majority equity interest in Zhipeng IoV or Yidian Smart Mobility or any equity interest in Xintu Technology or GIIA. The Group VIEs do not have a material contribution to the Group’s results of operations and the Group VIEs do not support material revenues reported within other subsidiaries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contractual arrangements with the Group VIEs and the respective affiliate shareholders of the Group VIEs may not be as effective as direct ownership in providing us with control over the Group VIEs and involve unique risks to investors. If any of the Group VIEs or the respective affiliate shareholders of the Group VIEs fails to perform their obligations under the contractual arrangements, we may have to incur substantial costs and expend additional resources to enforce such arrangements in reliance on legal remedies under the PRC law. These remedies may not always be effective, particularly in light of uncertainties in the PRC legal system. There are very few precedents and little formal guidance as to how contractual arrangements in the context of a variable interest entity should be interpreted or enforced under PRC law. Our contractual arrangements have not been tested in the PRC courts. Furthermore, the Chinese regulatory authorities could disallow the VIE structure, and we may not be able to continue to obtain, hold, renew or maintain certain required permits or approvals. If we are unable to assert our control over the assets of the Group VIEs, we may experience disruptions to our business or be unable to continue to consolidate the financial results of the Group VIEs in our financial statements, which may result in a material change in our operations and/or decline in the value of our Class A ordinary shares and ADSs. See “Item 3. Key Information—D. Risk Factors—Risks Relating to Our Corporate Structure—We rely on contractual arrangements with the Group VIEs and their respective affiliate shareholders to operate certain businesses that do not have and are not expected in the foreseeable future to have material revenue contributions to the Group. Such contractual arrangements may not be as effective as direct ownership in providing operational control and otherwise have a material adverse effect as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Operations in China </w:t>
      </w:r>
    </w:p>
    <w:p>
      <w:pPr>
        <w:pStyle w:val="TextBody"/>
        <w:bidi w:val="0"/>
        <w:spacing w:before="120" w:after="0"/>
        <w:jc w:val="left"/>
        <w:rPr>
          <w:rFonts w:ascii="Times New Roman" w:hAnsi="Times New Roman"/>
          <w:sz w:val="20"/>
        </w:rPr>
      </w:pPr>
      <w:r>
        <w:rPr>
          <w:rFonts w:ascii="Times New Roman" w:hAnsi="Times New Roman"/>
          <w:sz w:val="20"/>
        </w:rPr>
        <w:t xml:space="preserve">The Group faces various legal and operational risks and uncertainties associated with being based in and having its operations primarily in China and the country’s complex and evolving laws and regulations. These risks could result in a material change in the Group’s operations and/or the value of our ADSs and Class A ordinary shares or could significantly limit or completely hinder our ability to offer or continue to offer securities to investors and cause the value of such securities to significantly decline or be worthless. For example, the Group has incurred, and will continue to incur, significant expenses to comply with laws and regulations relating to cybersecurity and data security, including those implemented recently by China’s government. The Group also faces risks associated with regulations on offerings conducted overseas by and foreign investment in China-based issuers, the use of the Group VIEs, and anti-monopoly regulatory actions, which may impact the Group’s ability to conduct certain businesses, accept foreign investments, or list on a U.S. or other foreign exchange outside of China. See “Item 3. Key Information—D. Risk Factors—Risks Relating to Doing Business in China.”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PRC authorities have recently promulgated new or proposed laws and regulations to further regulate securities offerings that are conducted overseas by China-based issuers. For more detailed information, see “Item 4. Information on the Company—B. Business Overview—Regulation—Regulations on M&amp;A Rules and Overseas Listings” and “Item 4. Information on the Company—B. Business Overview—Regulation—Regulation Related to Internet Security and Privacy Protection.” According to these new laws and regulations and the draft laws and regulations if enacted in their current forms, in connection with our future offshore offering activities, we may be required to fulfill filing, reporting procedures with or obtain approval from the CSRC, and may be required to go through cybersecurity review by the PRC authorities. On November 16, 2023 and December 11, 2023, we have submitted the filings with the CSRC with respect to our placement of Class A ordinary shares to DiDi and the Volkswagen Group, respectively. For details of these transactions, please see “Item 3. Key Information—D. Risk Factors—Risks Relating to Our Business and Industry—From time to time, we may evaluate and potentially consummate strategic investments or acquisitions, which could require significant management attention, disrupt our business and adversely affect our financial results.” However, we cannot assure you that we can obtain the required approval or accomplish the required filing or other regulatory procedures in a timely manner, or at all. See “Item 3. Key Information—D. Risk Factors—Risks Relating to Our Business and Industry—Actual or alleged failure to comply with laws, regulations, rules, policies and other obligations regarding privacy, data protection, cybersecurity and information security could subject us to significant reputational, financial, legal and operational consequences,” “Item 3. Key Information—D. Risk Factors—Risks Relating to Doing Business in China—Changes and developments in the PRC legal system and the interpretation and enforcement of PRC laws, rules and regulations may subject us to uncertainties.” and “Item 3. Key Information—D. Risk Factors—Risks Relating to Our Corporate Structure—Uncertainties exist with respect to the interpretation and implementation of the Foreign Investment Law and its implementing rules and how they may impact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PRC Permissions and Approvals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annual report, we have obtained all requisite permissions and approvals that are material to the Group’s operations in China as of the date hereof, and Zhaoqing Xiaopeng New Energy, as well as our Smart EVs and NEVs (the MONA M03, the Next P7, the P7+ (including the P7+ EREV), the G6 (including the G6 EREV), the G7 (including the G7 EREV), the G9, the X9 (including the X9 EREV)), have been listed in the Announcement of the Vehicle Manufacturers and Products issued by the MIIT, which represented the governmental approval required for Zhaoqing Xiaopeng New Energy to be a qualified manufacturer for the manufacturing and sales of our Smart EVs and NEVs. Given the uncertainties regarding interpretation, implementation and enforcement of relevant rules and regulations, as well as other factors beyond our control, we cannot assure you that we have obtained or will be able to obtain and maintain all requisite licenses, permits, filings and registrations. See “Item 3. Key Information—D. Risk Factors—Risks Relating to Our Business and Industry—Certain of our operating subsidiaries may be required to obtain additional licenses or permits or make additional filings or registrations.” </w:t>
      </w:r>
    </w:p>
    <w:p>
      <w:pPr>
        <w:pStyle w:val="TextBody"/>
        <w:bidi w:val="0"/>
        <w:spacing w:before="360" w:after="0"/>
        <w:jc w:val="left"/>
        <w:rPr>
          <w:rFonts w:ascii="Times New Roman" w:hAnsi="Times New Roman"/>
          <w:b/>
          <w:sz w:val="20"/>
        </w:rPr>
      </w:pPr>
      <w:r>
        <w:rPr>
          <w:rFonts w:ascii="Times New Roman" w:hAnsi="Times New Roman"/>
          <w:b/>
          <w:sz w:val="20"/>
        </w:rPr>
        <w:t xml:space="preserve">Holding Foreign Companies Accountable Act </w:t>
      </w:r>
    </w:p>
    <w:p>
      <w:pPr>
        <w:pStyle w:val="TextBody"/>
        <w:bidi w:val="0"/>
        <w:spacing w:before="120" w:after="0"/>
        <w:jc w:val="left"/>
        <w:rPr>
          <w:rFonts w:ascii="Times New Roman" w:hAnsi="Times New Roman"/>
          <w:sz w:val="20"/>
        </w:rPr>
      </w:pPr>
      <w:r>
        <w:rPr>
          <w:rFonts w:ascii="Times New Roman" w:hAnsi="Times New Roman"/>
          <w:sz w:val="20"/>
        </w:rPr>
        <w:t xml:space="preserve">The HFCA Act may affect our ability to maintain our listing on the NYSE. Among other things, the HFCA Act provides that if the SEC determines that we have filed audit reports issued by a registered public accounting firm that has not been subject to inspection by the PCAOB, for two consecutive years, the SEC shall prohibit our securities from being traded on a national securities exchange or in the over the counter trading market in the U.S. In the event of such determination by the SEC, the NYSE would delist our ADSs. In December 2021, the PCAOB made its determinations, or the 2021 determinations, pursuant to the HFCA Act that it was unable to inspect or investigate completely registered public accounting firms headquartered in Chinese Mainland or Hong Kong including our independent auditor. After we filed our annual report on Form 20-F for the fiscal year ended December 31, 2021 on April 28, 2022, the SEC conclusively identified us as an SEC-identified issuer on May 26, 2022. On December 15, 2022, the PCAOB issued a report that vacated its December 16, 2021 determination and removed Chinese Mainland and Hong Kong from the list of jurisdictions where it is unable to inspect or investigate completely registered public accounting firms. For this reason, we have not been identified as an SEC-identified issuer under the HFCA Act after we filed the annual reports on Form 20-F since 2023, and we do not expect to be identified as an SEC-identified issuer under the HFCA Act after we file this annual report on Form 20-F for the year ended December 31, 2025. 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continue to use an accounting firm headquartered in one of these jurisdictions to issue an audit report on our financial statements filed with the SEC, we would be identified as an SEC-identified issuer following the filing of the annual report on Form 20-F for the relevant fiscal year. There can be no assurance that we would not be identified as an SEC-identified issuer for any future fiscal year, and if we were so identified for two consecutive years, we would become subject to the prohibition on trading under the HFCA Act. See “Item 3. Key Information—D. Risk Factors—Risks Relating to Doing Business in China—If the PCAOB determines that it is unable to inspect or investigate completely our auditor at any point in the future for two consecutive years,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of Funds </w:t>
      </w:r>
    </w:p>
    <w:p>
      <w:pPr>
        <w:pStyle w:val="TextBody"/>
        <w:bidi w:val="0"/>
        <w:spacing w:before="120" w:after="0"/>
        <w:jc w:val="left"/>
        <w:rPr>
          <w:rFonts w:ascii="Times New Roman" w:hAnsi="Times New Roman"/>
          <w:sz w:val="20"/>
        </w:rPr>
      </w:pPr>
      <w:r>
        <w:rPr>
          <w:rFonts w:ascii="Times New Roman" w:hAnsi="Times New Roman"/>
          <w:sz w:val="20"/>
        </w:rPr>
        <w:t xml:space="preserve">XPeng Inc. is a holding company with no material operations of its own. We conduct our operations in China (i) primarily through our PRC subsidiaries, and (ii) to a much lesser extent, the Group VIEs. As a result, although other means are available for us to obtain financing at the holding company level, XPeng Inc.’s ability to pay dividends, if any, to the shareholders and ADSs investors and to service any debt we may incur will depend upon dividends paid by our PRC subsidiaries and service fees paid by the Group VIEs. If any of our subsidiaries incurs debt on its own behalf in the future, the instruments governing such debt may restrict its ability to pay dividends to XPeng Inc. Under PRC laws and regulations, our PRC subsidiaries are subject to certain restrictions with respect to paying dividends or otherwise transferring any of their net assets offshore to us. In particular, under PRC laws, rules and regulations, each of our subsidiaries incorporated in China is required to set aside at least 10% of its net income each year to fund certain statutory reserves until the cumulative amount of such reserves reaches 50% of its registered capital. These reserves, together with the registered capital, are not distributable as cash dividends. In addition, the PRC Enterprise Income Tax Law and its implementing rules impose a withholding income tax as much as 10% on dividends distributed by a foreign invested enterprise to its immediate holding company outside of China, unless such tax is reduced under treaties or arrangements between the PRC central government and governments of other countries or regions where the non-PRC resident enterprise is a tax resident. The undistributed earnings that are subject to dividend tax are expected to be indefinitely reinvested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we are subject to restrictions on currency exchange. The Renminbi is currently convertible under the “current account,” which includes dividends, trade and service-related foreign exchange transactions, but not under the “capital account,” which includes foreign direct investment and loans, including loans we may secure from our PRC subsidiaries. Currently, our PRC subsidiaries may purchase foreign currency for settlement of “current account transactions,” including payment of dividends to us,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our future revenues and cash flow will be primarily denominated in Renminbi, any existing and future restrictions on currency exchange may limit our ability to utilize cash generated in Renminbi to fund our business activities outside of the PRC or pay dividends in foreign currencies to our shareholders, including holders of the Class A ordinary shares and/or ADSs, and may limit our ability to obtain foreign currency through debt or equity financing for our onshore subsidiaries.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not declared or paid any dividends on our ordinary shares or ADSs. We do not have any present plan to declare or pay any dividends on our ordinary shares or ADSs in the foreseeable future. We intend to retain most, if not all, of our available funds and any future earnings to operate and expand our business. See “Item 8. Financial Information—A. Consolidated Statements and Other Financial Information—Dividend Policy.” None of our subsidiaries nor any Group VIE has declared any dividends or made distributions to its shareholder for each of the years presented in this annual report. The service fees charged between the Group VIEs and other entities within the Group were immaterial for each of the years presented in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For certain Cayman Islands, PRC, Hong Kong and United States federal income tax considerations of an investment in the ADSs and Class A ordinary shares, see “Item 10. Additional Information—E. Taxation.” </w:t>
      </w:r>
    </w:p>
    <w:p>
      <w:pPr>
        <w:pStyle w:val="TextBody"/>
        <w:bidi w:val="0"/>
        <w:spacing w:before="360" w:after="0"/>
        <w:jc w:val="left"/>
        <w:rPr>
          <w:rFonts w:ascii="Times New Roman" w:hAnsi="Times New Roman"/>
          <w:b/>
          <w:sz w:val="20"/>
        </w:rPr>
      </w:pPr>
      <w:r>
        <w:rPr>
          <w:rFonts w:ascii="Times New Roman" w:hAnsi="Times New Roman"/>
          <w:b/>
          <w:sz w:val="20"/>
        </w:rPr>
        <w:t xml:space="preserve">A. [Reserved] </w:t>
      </w:r>
    </w:p>
    <w:p>
      <w:pPr>
        <w:pStyle w:val="TextBody"/>
        <w:bidi w:val="0"/>
        <w:spacing w:before="360" w:after="0"/>
        <w:jc w:val="left"/>
        <w:rPr>
          <w:rFonts w:ascii="Times New Roman" w:hAnsi="Times New Roman"/>
          <w:b/>
          <w:sz w:val="20"/>
        </w:rPr>
      </w:pPr>
      <w:r>
        <w:rPr>
          <w:rFonts w:ascii="Times New Roman" w:hAnsi="Times New Roman"/>
          <w:b/>
          <w:sz w:val="20"/>
        </w:rPr>
        <w:t xml:space="preserve">B. Capitalization and Indebtedness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Reasons for the Offer and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D. Risk Factors </w:t>
      </w:r>
    </w:p>
    <w:p>
      <w:pPr>
        <w:pStyle w:val="TextBody"/>
        <w:bidi w:val="0"/>
        <w:spacing w:before="120" w:after="0"/>
        <w:jc w:val="left"/>
        <w:rPr>
          <w:rFonts w:ascii="Times New Roman" w:hAnsi="Times New Roman"/>
          <w:b/>
          <w:sz w:val="20"/>
        </w:rPr>
      </w:pPr>
      <w:r>
        <w:rPr>
          <w:rFonts w:ascii="Times New Roman" w:hAnsi="Times New Roman"/>
          <w:b/>
          <w:sz w:val="20"/>
        </w:rPr>
        <w:t xml:space="preserve">Summary of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Investing in our ADSs and Class A ordinary shares involves significant risks. You should carefully consider all of the information in this annual report before making an investment in our ADSs and Class A ordinary shares. Below please find a summary of the principal risks we face, organized under relevant headings.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Risks Relating to Our Business and Industry </w:t>
      </w:r>
    </w:p>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face significant challenges as a new entrant into our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we continue to grow, we may not be able to effectively manage our growth, which could negatively impact our brand and financial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Unsuccessful adoption of technology like end-to-end model and large language model could adversely impact our business, operations and reputation.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risks associated with ADAS technologies.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China’s passenger vehicle market is highly competitive, and demand for EVs may be cyclical and volatile.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efforts may not yield expected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Smart EVs and NEVs, including software systems, fail to offer a good mobility experience and meet customer expectations, our business, results of operations and reputation would be materially and adversely affected.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develop the processing hardware and ramp up its production in a cost-efficient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expand our physical sales network cost-efficiently, and our franchise model is subject to a number of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results may vary significantly from period to period due to the seasonality of our business and fluctuations in our operating costs.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revenues generated from a limited number of Smart EV and NEV models.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customers may cancel their orders despite their deposit payment and online confirmation.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shortage in the supply of semiconductors may be disruptive to the Group’s operations and adversely affect our business, results of operations and financial condition.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losses and had recorded negative cash flows from operating activities in the past, all of which may continue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plans require a significant amount of capital. If we fail to obtain required external financing to sustain our business, we may be forced to curtail or discontinue the Group’s operations. In addition, our future capital needs may require us to sell additional equity or debt securities that may dilute our shareholders or introduce covenants that may restrict the Group’s operations or our ability to pay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From time to time, we may evaluate and potentially consummate strategic investments or acquisitions, which could require significant management attention, disrupt our business and adversely affect our financial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entered into collaborations, and may establish or seek collaborations, and we may not timely realize the benefits of such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unavailability, reduction or elimination of government and economic incentives or government policies that are favorable for new energy vehicles and domestically produced vehicles could materially and adversely affect our business, financial condition and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alleged failure to comply with laws, regulations, rules, policies and other obligations regarding privacy, data protection, cybersecurity and information security could subject us to significant reputational, financial, legal and operational consequences. For instance, any misuse of smart technology, such as facial recognition technology, may have a material adverse effect on our reputation and results of operations.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Doing Business in China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and developments in the political, economic and social policies of the PRC government may materially and adversely affect our business, financial condition and results of operations and may result in our inability to sustain our growth and expansion strategies. The Chinese government may intervene or influence the Group’s operations if we fail to comply with applicable PRC laws, regulations or regulatory requirements, and may exert more control over offerings conducted overseas and foreign investment in China-based issuers, which could result in a material change in the Group’s operations and the value of our Class A ordinary shares and ADSs. Any actions by the Chinese government to exert more oversight and control over offerings that are conducted overseas and/or foreign investment in China-based issuers could significantly limit or completely hinder our ability to offer or continue to offer our Class A ordinary shares and ADSs to investors and cause the value of such securities to significantly decline or be worthless.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instance, on February 17, 2023, the China Securities Regulatory Commission, or the CSRC, promulgated the Trial Administrative Measures of Overseas Securities Offering and Listing by Domestic Companies (“Overseas Listing Trial Measures”) and relevant five guidelines, which became effective on March 31, 2023. The Overseas Listing Trial Measures impose filing requirements on both “direct” and “indirect” overseas offering or listing of PRC domestic companies. As of the date of this annual report, we have not been informed by any PRC governmental authority of any requirement that we shall apply for approval or filing for our initial public offering in the U.S. in August 2020, our follow-on public offering completed in December 2020 or our listing on the Hong Kong Stock Exchange and the associated public offering in July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However, since the PRC authorities have promulgated new laws and regulations recently to further regulate securities offerings that are conducted overseas, in connection with our future overseas securities offering or listing, we may be required to fulfill filing, reporting procedures or other administrative procedures with the CSRC or other PRC government authorities. In addition, we cannot guarantee that new rules or regulations promulgated in the future will not impose any additional requirement on us or otherwise to tighten the regulations on PRC companies seeking overseas listing. Any failure to obtain the relevant approval or complete the filings and other relevant regulatory procedures may subject us to regulatory actions or other penalties from the CSRC or other PRC regulatory authorities, which may have a material adverse effect on our business, operations or financial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and developments in the PRC legal system and the interpretation and enforcement of PRC laws, rules and regulations may subject us to uncertainties.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report included in this annual report is prepared by an auditor located in a jurisdiction which the U.S. Public Company Accounting Oversight Board was unable to inspect and investigate completely before 2022 and, as such, our investors have been deprived of the benefits of such inspections in the past, and may be deprived of the benefits of such inspections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PCAOB determines that it is unable to inspect or investigate completely our auditor at any point in the future for two consecutive years,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PRC regulations establish procedures for acquisitions conducted by foreign investors that could make it more difficult for us to grow through acquisitions.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Our Corporate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contributions from the Group VIEs have not been and are not expected in the foreseeable future to be material. Nonetheless, if the PRC government deems that the contractual arrangements in relation to the Group VIEs do not comply with PRC regulatory restrictions on foreign investment in the relevant industries, or if these regulations or the interpretation of existing regulations change in the future, our Class A ordinary shares and ADSs may decline in value if we are unable to assert our contractual control rights over the assets of the Group VIEs.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contractual arrangements with the Group VIEs and their respective affiliate shareholders to operate certain businesses that do not have and are not expected in the foreseeable future to have material revenue contributions to the Group. Such contractual arrangements may not be as effective as direct ownership in providing operational control and otherwise have a material adverse effect as to our business.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with the Group VIEs may result in adverse tax consequences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exercise the option to acquire equity ownership of the Group VIEs, the ownership transfer may subject us to certain limitations and substantial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affiliate shareholders of the Group VIEs may have conflicts of interest with us, which may materially and adversely affect our business and financial condition.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face significant challenges as a new entrant into our industry. </w:t>
      </w:r>
    </w:p>
    <w:p>
      <w:pPr>
        <w:pStyle w:val="TextBody"/>
        <w:bidi w:val="0"/>
        <w:spacing w:before="120" w:after="0"/>
        <w:jc w:val="left"/>
        <w:rPr>
          <w:rFonts w:ascii="Times New Roman" w:hAnsi="Times New Roman"/>
          <w:sz w:val="20"/>
        </w:rPr>
      </w:pPr>
      <w:r>
        <w:rPr>
          <w:rFonts w:ascii="Times New Roman" w:hAnsi="Times New Roman"/>
          <w:sz w:val="20"/>
        </w:rPr>
        <w:t xml:space="preserve">We began operations in 2015 and have a limited operating history. We have limited history in most aspects of our business operations, including designing, testing, manufacturing, marketing and selling our Smart EVs and NEVs, as well as offering our services. We started production of our first mass-produced Smart EV, the G3, a compact SUV, in November 2018. We have constructed a manufacturing plant in Zhaoqing, Guangdong province, and the plant is the first manufacturing facility owned by us. We have also constructed a manufacturing plant in Guangzhou, Guangdong province, and started manufacturing Smart EVs at this plant in December 2022. In addition, as of March 31, 2026, we had completed the construction of our new manufacturing base in Wuhan, Hubei province, and had obtained the property ownership certificate upon completion of the inspection and acceptance procedures conducted by relevant government authorities. We have successively launched and delivered a number of vehicle models and their variants, and as of the date of this annual report, our product offering included the MONA M03, the Next P7, the P7+ (including the P7+ EREV), the G6 (including the G6 EREV), the G7 (including the G7 EREV), the G9, the X9 (including the X9 EREV).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consider our business and prospects in light of the risks and challenges we face as a new entrant into our industry, including, among other things, with respect to our ability to: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and produce safe, reliable and quality vehicles on an ongoing basis;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build a well-recognized and respected brand;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110"/>
        <w:gridCol w:w="60"/>
        <w:gridCol w:w="2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 our customer base;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properly price our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 our technological capabilities in key areas, such as ADAS, intelligent operating system, electric powertrain and E/E architecture;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market our Smart EVs and NEVs and our services, including our ADAS and various value-added services, such as insurance agency service, automotive loan referral and charging solutions;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improve operating efficiency and economies of scale;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 our manufacturing plant in a safe and cost-efficient manner;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motivate our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 and adapt to changing market conditions, including changes in consumer preferences and competitive landscape; and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navigate a complex and evolving regulatory environment.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address any or all of these risks and challenges, our business may be materially and adversely affected. Our Smart EVs and NEVs are highly technical products that require ongoing maintenance and support. As a result, consumers will be less likely to purchase our Smart EVs and NEVs if they are not convinced that our business will succeed or that the Group’s operations will continue for many years. Similarly, suppliers and other third parties will be less likely to invest time and resources in developing business relationships with us if they are not convinced that our business will succeed.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we continue to grow, we may not be able to effectively manage our growth, which could negatively impact our brand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significant growth in the past several years. Our revenues increased from RMB30,676.1 million in 2023 to RMB40,866.3 million in 2024, and further to RMB76,719.7 million in 2025, and the number of Smart EVs and NEVs delivered by us increased from 141,601 units in 2023 to 190,068 units in 2024 and further to 429,445 units in 2025. We plan to further grow our business by, among other things, investing in technology, expanding our product portfolio, providing technology services, strengthening our brand recognition, expanding our sales and marketing network and service offerings. Our future operating results will depend to a large extent on our ability to manage our expansion and growth successfully. </w:t>
      </w:r>
    </w:p>
    <w:p>
      <w:pPr>
        <w:pStyle w:val="TextBody"/>
        <w:bidi w:val="0"/>
        <w:spacing w:before="240" w:after="0"/>
        <w:jc w:val="left"/>
        <w:rPr>
          <w:rFonts w:ascii="Times New Roman" w:hAnsi="Times New Roman"/>
          <w:sz w:val="20"/>
        </w:rPr>
      </w:pPr>
      <w:r>
        <w:rPr>
          <w:rFonts w:ascii="Times New Roman" w:hAnsi="Times New Roman"/>
          <w:sz w:val="20"/>
        </w:rPr>
        <w:t xml:space="preserve">Risks that we face in undertaking this expansion include, among others: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a larger organization with a greater number of employees in different divisions;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controlling expenses and investments in anticipation of expanded operations;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or expanding design, manufacturing, sales and service facilities, as well as charging network;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and enhancing administrative infrastructure, systems and processes; and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executing our strategies and business initiatives successfully.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failure to manage our growth effectively could materially and adversely affect our business, prospects,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risks associated with ADAS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continuously upgrade our ADAS technologies through in-house research and development. ADAS technologies are subject to risks and from time to time there have been accidents associated with such technologies. Although we attempt to remedy any issues we observe in our Smart EVs and NEVs as effectively and rapidly as possible, such efforts may not be timely, may hamper production or may not be to the satisfaction of our customers. Moreover, ADAS technology is still evolving and is yet to achieve wide market acceptance. The safety of ADAS technologies depends in part on driver interaction, and drivers may not be accustomed to using such technologies. To the extent accidents associated with our ADAS systems occur, we could be subject to liability, government scrutiny and further regulation. In April 2023, our G9 SUV obtained the Guangzhou Intelligent Connected Vehicle Passenger Test Permit, and the testing area covered all general testing roads in Guangzhou. In December 2025, we obtained a Level 3 autonomous driving road test permit in Guangzhou and commenced routine Level 3 road testing, and in January 2026, we further received approval from Guangzhou Municipal Transportation Bureau for road testing activities of certain of our Smart EVs and NEVs in designated areas in Guangzhou. These approvals primarily authorize us to conduct conditional autonomous driving for intelligent connected vehicles in Guangzhou. As the penetration and availability of our ADAS systems continues to grow, the possibility that our ADAS technologies are involved in accidents may correspondingly increase. Furthermore, accidents or defects caused by third parties’ ADAS technology may negatively affect public perception, or result in regulatory restrictions, with respect to ADAS technology. Such accidents where our or any third party’s ADAS technology is involved may be the subject of significant public attention. </w:t>
      </w:r>
    </w:p>
    <w:p>
      <w:pPr>
        <w:pStyle w:val="TextBody"/>
        <w:bidi w:val="0"/>
        <w:spacing w:before="240" w:after="0"/>
        <w:jc w:val="left"/>
        <w:rPr>
          <w:rFonts w:ascii="Times New Roman" w:hAnsi="Times New Roman"/>
          <w:sz w:val="20"/>
        </w:rPr>
      </w:pPr>
      <w:r>
        <w:rPr>
          <w:rFonts w:ascii="Times New Roman" w:hAnsi="Times New Roman"/>
          <w:sz w:val="20"/>
        </w:rPr>
        <w:t xml:space="preserve">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and we may become liable for losses that exceed the current industry norms as the regulatory and legal landscape develops. Our ADAS technologies may be affected by regulatory restrictions. 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others, domestic and foreign political developments or considerations and litigation relating to our solutions and our competitors’ products. </w:t>
      </w:r>
    </w:p>
    <w:p>
      <w:pPr>
        <w:pStyle w:val="TextBody"/>
        <w:bidi w:val="0"/>
        <w:spacing w:before="240" w:after="0"/>
        <w:jc w:val="left"/>
        <w:rPr>
          <w:rFonts w:ascii="Times New Roman" w:hAnsi="Times New Roman"/>
          <w:sz w:val="20"/>
        </w:rPr>
      </w:pPr>
      <w:r>
        <w:rPr>
          <w:rFonts w:ascii="Times New Roman" w:hAnsi="Times New Roman"/>
          <w:sz w:val="20"/>
        </w:rPr>
        <w:t xml:space="preserve">Changes in government regulations, especially those relating to ADAS and autonomous driving, could adversely affect our business, results of operations, and financial condition. For example, on November 17, 2023, the MIIT, the Ministry of Public Security, the Ministry of Housing and Urban-Rural Development, and the Ministry of Transport jointly promulgated the Notice of Implementing the Pilot Program of Access and On-Road Traffic of Intelligent Connected Vehicles (the “2023 Pilot Program”), which took effect on the same day. Pursuant to the 2023 Pilot Program, vehicle manufacturers are eligible for carrying out on-road testing for intelligent connected vehicles equipped with autonomous driving functions (referred to as Level 3 autonomous driving function (conditionally automated driving) and Level 4 autonomous driving function (highly automated driving) as provided in the Taxonomy of Driving Automation for Vehicles) and ready for mass production in restricted areas only after passing the product testing and safety assessment conducted by the relevant authorities and obtaining the access approvals from the MIIT. In addition, on December 5, 2023, the Ministry of Transport issued the Guidelines on Transportation Safety Services for Autonomous Vehicles (for Trial Implementation), which provides relevant guidance for vehicles which are capable of performing all dynamic driving tasks under designed operating conditions according to relevant national standards and have obtained the access approvals from the MIIT, including but not limited to, requirements for application scenarios, operators of autonomous vehicles, safety and security, supervision and overall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our research and development activities on ADAS are subject to regulatory restrictions on surveying and mapping, driverless road testing, as well as the collection, processing, storage and use of vehicle and other data, among other things, which are still in early stages of development and the specific requirements, implementation practices and enforcement standards may differ among PRC authorities at different administrative levels and across different locations, which may change over time. For instance, on July 26, 2024, the Ministry of Natural Resources promulgated the Notice on Strengthening the Administration of Surveying, Mapping and Geoinformation Security Relating to Intelligent Connected Vehicles. This notice provides that surveying and mapping activities related to intelligent connected vehicles must be conducted in accordance with the law, that confidential and sensitive geographic information data must be strictly managed, and that electronic navigation maps must be strictly reviewed. In addition, the notice implements requirements for the storage of geoinformation data and cross-border transfer of such data, strengthens the regulation of geoinformation security, and encourages the exploration of geographic information security applications. A number of local governments in China, such as those in Beijing, Guangzhou, Shanghai and Shenzhen, have issued local rules that regulate road testing and certain applications of autonomous driving vehicles. For example, on December 31, 2024, the Standing Committee of the Beijing Municipal People’s Congress issued Beijing’s Autonomous Vehicle Regulations, which became effective on April 1, 2025. In addition, on January 20, 2025, the Standing Committee of the Guangzhou Municipal People’s Congress issued the Regulations on the Innovative Development of Intelligent Connected Vehicles of Guangzhou Municipality, which became effective on February 28, 2025. Furthermore, on September 17, 2025, MIIT published a public consultation on the draft Intelligent and Connected Vehicle—Safety Requirements of Combined Driver Assistance System, which would impose national level compulsory safety requirements for L2 combined driver assistance systems if adopted. Any failure to obtain, maintain or renew required approvals, permits or filings, or to comply with applicable requirements in areas where we operate, may result in fines, penalties, suspension of testing activities, restrictions on the rollout of our ADAS technologies, which could negatively affect our business, results of operations and financial condition. Any tightening of regulatory restrictions could have a material adverse impact on our development of ADAS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China’s passenger vehicle market is highly competitive, and demand for EVs may be cyclical and volatile. </w:t>
      </w:r>
    </w:p>
    <w:p>
      <w:pPr>
        <w:pStyle w:val="TextBody"/>
        <w:bidi w:val="0"/>
        <w:spacing w:before="120" w:after="0"/>
        <w:jc w:val="left"/>
        <w:rPr>
          <w:rFonts w:ascii="Times New Roman" w:hAnsi="Times New Roman"/>
          <w:sz w:val="20"/>
        </w:rPr>
      </w:pPr>
      <w:r>
        <w:rPr>
          <w:rFonts w:ascii="Times New Roman" w:hAnsi="Times New Roman"/>
          <w:sz w:val="20"/>
        </w:rPr>
        <w:t xml:space="preserve">China’s passenger vehicle market is large yet competitive, and we have strategically focused on offering Smart EVs and NEVs for the mid- to high-end segment. Our Smart EVs and NEVs directly compete with (i) other EVs, including pure play EVs, and NEVs, which include plug-in hybrid electric vehicles, hybrid electric vehicles and fuel cell electric vehicles, especially those targeting the mid- to high-end segment, and (ii) ICE vehicles in the mid- to high-end segment offered by traditional OEMs. We may also in the future face competition from new entrants that will increase the level of competition. Many of our current and potential competitors, particularly international competitors, have more financial, technical, manufacturing, marketing and other resources than we do, and may be able to devote significant resources to the design, development, manufacturing, distribution, promotion, sale and support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We expect competition in our industry to intensify in the future in light of increased demand and regulatory push for alternative fuel vehicles, continuing globalization and consolidation in the worldwide automotive industry. Factors affecting competition include, among others, product quality and features, innovation and development time, pricing, reliability, safety, energy efficiency, sales and marketing capabilities, distribution network, customer service and financing terms. Increased competition may lead to lower vehicle unit sales and increased inventory, which may result in downward price pressure and adversely affect our business, financial condition, operating results and prospects. There can be no assurance that we will be able to compete successfully. Our competitors may introduce new vehicles or services that surpass the quality or performance of our Smart EVs and NEVs or services, which would adversely affect our competitive position in the market. They may also offer vehicles or services at more competitive prices, which would have an adverse impact on our sales and profitability. We have witnessed increasing price competition in the Smart EV and NEV industry in recent years, which imposed downward pressure on the sale prices of our products and our gross margin. For instance, since January 2024, certain of our competitors have announced price cuts or discounts to their products and we have also announced price discounts to certain of our vehicle models. In this context, the PRC government authorities have been increasingly emphasizing the “anti-involution” efforts since 2024. For example, in December 2024, the Central Economic Work Conference called for comprehensive efforts of local governments and enterprises to address “involution-style” competition. In May 2025, the China Association of Automobile Manufacturers further issued the Initiative on Maintaining Fair Competition Order and Promoting Healthy Industry Development, calling on market players in vehicle industries to uphold fair competition and avoid disorderly price competition. Nonetheless, we cannot assure you that such guidance, initiatives or policies will be effective in reducing “involution-style” competition or price competition in the Smart EV and NEV industry, or that such competition will not continue in the future. In addition, we cannot assure you that we will be able to compete successfully against our competitors, nor can we assure you that the competitive pressures we face will not decrease our revenue and profits in the future. Furthermore, we may compete with state-owned enterprises or companies that have received investments or other forms of support from state-owned enterprises or other government entities, and such competitors may therefore possess more resources than us. If products from our competitors successfully compete with or surpass the quality or performance of our vehicles at more competitive prices, our profitability and results of operations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volatility in the automobile industry may materially and adversely affect our business, prospects, operating results and financial condition. The sales volume of EVs in the mid- to high-end segment in China may not grow at the rate that we expect, or at all. Demand for EVs depends to a large extent on general, economic, political and social conditions in a given market and the introduction of new vehicles and technologies. As a new entrant to the EV market, we have fewer financial resources than more established OEMs to withstand changes in the market and disruptions in demand. Demand for our Smart EVs and NEVs may also be affected by factors directly impacting automobile price or the cost of purchasing and operating automobiles, such as sales and financing incentives, prices of raw materials and components, cost of oil and gasoline and governmental regulations, including tariffs, import regulation and sales taxes. Volatility in demand may lead to lower vehicle unit sales and increased inventory, which may result in further downward price pressure and adversely affect our business, prospects, financial condition and operating results. These effects may have a more pronounced impact on our business given our relatively smaller scale and less financial resources as compared to many traditional OEMs.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efforts may not yield expected results. </w:t>
      </w:r>
    </w:p>
    <w:p>
      <w:pPr>
        <w:pStyle w:val="TextBody"/>
        <w:bidi w:val="0"/>
        <w:spacing w:before="120" w:after="0"/>
        <w:jc w:val="left"/>
        <w:rPr>
          <w:rFonts w:ascii="Times New Roman" w:hAnsi="Times New Roman"/>
          <w:sz w:val="20"/>
        </w:rPr>
      </w:pPr>
      <w:r>
        <w:rPr>
          <w:rFonts w:ascii="Times New Roman" w:hAnsi="Times New Roman"/>
          <w:sz w:val="20"/>
        </w:rPr>
        <w:t xml:space="preserve">Technological innovation is critical to our success, and we strategically develop most of key technologies in-house, such as ADAS, intelligent operating system, powertrain and E/E architecture. We have been investing heavily in our research and development efforts. In 2023, 2024 and 2025, our research and development expenses amounted to RMB5,276.6 million, RMB6,456.7 million and RMB9,490.0 million, respectively. Our research and development expenses accounted for 17.2%, 15.8% and 12.4% of our total revenues for 2023, 2024 and 2025, respectively. The EV industry is experiencing rapid technological changes, and we need to invest significant resources in research and development to lead technological advances in order to remain competitive in the market. Therefore, we expect that our research and development expenses will continue to be significant. Furthermore, research and development activities are inherently uncertain, and there can be no assurance that we will continue to achieve technological breakthroughs and successfully commercialize such breakthroughs. As a result, our significant expenditures on research and development may not generate corresponding benefits. If our research and development efforts fail to keep up with the latest technological developments, we would suffer a decline in our competitive position. For example, we believe ADAS is a key factor that differentiates our Smart EVs and NEVs from competing products, and we have dedicated significant research and development efforts. The outcome of such efforts may not be successfully commercialized or accepted by the market. Any delay or setbacks in our efforts to improve our ADAS capabilities could materially and adversely affect our business, reputation,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Besides our in-house expertise, we also rely on certain technologies of our suppliers to enhance the performance of our Smart EVs and NEVs. In particular, we do not manufacture battery cells or semiconductors, which makes us dependent upon suppliers for the relevant technologies. As technologies change, we plan to upgrade our existing models and introduce new models in order to provide Smart EVs and NEVs with the latest technologies, including battery cells and semiconductors, which could involve substantial costs and lower our return on investment for existing models. There can be no assurance that we will be able to equip our Smart EVs and NEVs with the latest technologies. Even if we are able to keep pace with changes in technologies and develop new models, our prior models could become obsolete more quickly than expected, potentially reducing our return on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Smart EVs and NEVs, including software systems, fail to offer a good mobility experience and meet customer expectations, our business, results of operations and reputation would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tailor our Smart EVs and NEVs for China’s middle-class consumers. Our Smart EVs and NEVs offer smart technology functions, including ADAS and smart connectivity, to make the mobility experience more convenient. There can be no assurance that we will be able to continue to enhance such smart technology functions and make them more valuable to our target customers. In the design process, we pay close attention to the preferences of our target customers. However, there can be no assurance that we are able to accurately identify consumer preferences and effectively address such preferences in the design of our Smart EVs and NEVs. Furthermore, the driving experience of Smart EVs and NEVs is different from that of ICE vehicles, and our customers may experience difficulties in adapting to the driving experience of Smart EVs and NEVs. As consumer preferences are continuously evolving, and as competing technologies, policy incentives and regulatory developments change, we may fail to introduce desirable product features in a timely manner, and there is no assurance that our Smart EVs and NEVs, including our EREV models that we recently launched, may continue to achieve broad market acceptance.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Smart EVs and NEVs may contain defects in design or manufacturing that cause them not to perform as expected or that require repair, and certain features of our Smart EVs and NEVs may take longer than expected to become enabled. For example, the operation of our Smart EVs and NEVs is highly dependent on our proprietary software, such as XNGP and XOS Tianji, which is inherently complex. These software systems may contain latent defects and errors or be subject to external attacks. Although we attempt to remedy any issues we observe in our Smart EVs and NEVs as effectively and rapidly as possible, such efforts may not be timely or may not be to the satisfaction of our customers. Furthermore, while we have performed extensive internal testing on the Smart EVs and NEVs we manufacture, we currently have a limited frame of reference by which to evaluate detailed long-term quality, reliability, durability and performance characteristics of our Smart EVs and NEVs. We cannot assure you that our Smart EVs and NEVs are free of defects, which may manifest over time. Product defects, delays or other failures of our products to perform as expected could damage our reputation and result in product recalls, product liability claims and/or significant warranty and other expenses, and could have a material adverse impact on our business, financial condition,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have been actively rolling out new smart technology features to and upgrading the designs of our offerings, including the smart voice assistant in our XOS Tianji in-car operating system. These new features and designs are subject to market acceptance, and any incident involving our Smart EV and NEV may negatively affect the perception of our products and services and may further result in damages to our brand image and customer trust. We are also making significant investments in smart technology including end-to-end model and large language model to improve the driving and riding experience of our vehicles. In addition, following the launch of our EREV models, we may not be able to continue to develop and enhance EREV-related technologies and improve their performance, efficiency and cost-effectiveness in a timely manner. The development and use of such technology can be complex and involve significant costs and risks. There can be no assurance that our investments in and usage of such technology will achieve the benefits we anticipated. These technologies may have limitations, including biases and errors, and there are also risks of system failures and disruptions and risks relating to cybersecurity, privacy, intellectual property and ethical concerns. If customers perceive that a technology update or feature change results in degraded performance, reduced functionality, inconsistent user experience, or otherwise does not meet their expectation, we may face increased customer complaints, additional service and warranty costs, negative publicity, reputational harm, and potential claims or disputes. Furthermore, the legal regulatory regime relating to such technology is developing in many jurisdictions, and new rules and regulations could significantly increase our compliance costs, require us to modify our technologies and business practices, prevent or limit our use of such technology in certain circumstances or result in regulatory investigations, fines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develop the processing hardware and ramp up its production in a cost-efficient manner. </w:t>
      </w:r>
    </w:p>
    <w:p>
      <w:pPr>
        <w:pStyle w:val="TextBody"/>
        <w:bidi w:val="0"/>
        <w:spacing w:before="120" w:after="0"/>
        <w:jc w:val="left"/>
        <w:rPr>
          <w:rFonts w:ascii="Times New Roman" w:hAnsi="Times New Roman"/>
          <w:sz w:val="20"/>
        </w:rPr>
      </w:pPr>
      <w:r>
        <w:rPr>
          <w:rFonts w:ascii="Times New Roman" w:hAnsi="Times New Roman"/>
          <w:sz w:val="20"/>
        </w:rPr>
        <w:t xml:space="preserve">We have limited history of developing the processing hardware, and we may not be able to develop and introduce the processing hardware that fits our business demand and vehicle models. In August 2024, we announced that our processing hardware has been successfully tapped-out. The success of developing processing hardware may affect our capability to develop and introduce new and enhanced autonomous driving and cross-domain products and solutions that incorporate and integrate the latest technological advancements in sensing and perception technologies, software and hardware, and camera, radar, LiDAR, mapping, and deep learning technologies to satisfy evolving customer, regulatory, and safety rating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seeking design wins for the processing hardware will succeed. Despite our successful tape-out of the processing hardware with foundry supplier in August 2024, we may not be able to complete the development of the processing hardware or ramp up its production in a cost-efficient manner, or at all. We cooperate with our foundry and other suppliers to manufacture, assemble, package and test the processing hardware. From time to time, these third parties may become unable to perform these services on a timely or cost-effective basis, in sufficient volumes, or at all. In some cases, there are limited or no readily available satisfactory alternate providers. Any business disruption at such suppliers’ facilities may result in supply shortage of the processing hardware.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expand our physical sales network in China cost-efficiently, and our franchise model is subject to a number of risks.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our physical sales network consisted of 721 stores, covering 255 cities in China. We plan to expand our physical sales network through a combination of direct stores and franchised stores. This planned expansion may not have the desired effect of increasing sales and enhancing our brand recognition in a cost-efficient manner and requires certain adjustments in our sales and marketing operation. </w:t>
      </w:r>
    </w:p>
    <w:p>
      <w:pPr>
        <w:pStyle w:val="TextBody"/>
        <w:bidi w:val="0"/>
        <w:spacing w:before="240" w:after="0"/>
        <w:jc w:val="left"/>
        <w:rPr>
          <w:rFonts w:ascii="Times New Roman" w:hAnsi="Times New Roman"/>
          <w:sz w:val="20"/>
        </w:rPr>
      </w:pPr>
      <w:r>
        <w:rPr>
          <w:rFonts w:ascii="Times New Roman" w:hAnsi="Times New Roman"/>
          <w:sz w:val="20"/>
        </w:rPr>
        <w:t xml:space="preserve">For our direct stores, we may need to invest significant capital and management resources to operate existing direct stores and open new ones, and there can be no assurance that we will be able to improve the operational efficiency of our direct stores. </w:t>
      </w:r>
    </w:p>
    <w:p>
      <w:pPr>
        <w:pStyle w:val="TextBody"/>
        <w:bidi w:val="0"/>
        <w:spacing w:before="240" w:after="0"/>
        <w:jc w:val="left"/>
        <w:rPr>
          <w:rFonts w:ascii="Times New Roman" w:hAnsi="Times New Roman"/>
          <w:sz w:val="20"/>
        </w:rPr>
      </w:pPr>
      <w:r>
        <w:rPr>
          <w:rFonts w:ascii="Times New Roman" w:hAnsi="Times New Roman"/>
          <w:sz w:val="20"/>
        </w:rPr>
        <w:t xml:space="preserve">While our franchise model enables us to pursue an asset-light expansion strategy, such model is also subject to a number of risks, and our increasing focus on developing our franchise network may result in increasing dependence on the performance of our franchisees and our ability to effectively manage our network of distributors. We may not be able to identify, attract and retain a sufficient number of franchisees with the requisite experience and resources to operate franchised stores. We rely on our agreements with franchisees and the policies and measures we have in place to manage our franchise network, and any violation by our franchisees on such agreements may have an adverse effect on our business. Our franchisees are responsible for the day-to-day operation of their stores. Although we offer the same trainings and implement the same service standards for staff from both direct stores and franchised stores, we have limited control over how our franchisees’ businesses are run. If our franchisees fail to deliver high quality customer service and resolve customer complaints in a timely manner, if any of their misconduct leads to damages to our brand image and reputation or if they fail to maintain the requisite licenses, permits or approvals, our business could be adversely affected. In addition, our agreements with certain of our franchisees are non-exclusive. While they are required to only sell our Smart EVs and NEVs in the XPENG-branded franchised stores, they may operate other stores that sell vehicles of multiple other brands. These franchisees may dedicate more resources to the stores outside of our sales network and may not be able to successfully implement our sales and marketing initiatives. Furthermore, our franchisees may engage aggressive competition against each other, resulting in cannibalization among such franchisees. Any such behavior or occurrence may harm our business, prospects, financial condition and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results may vary significantly from period to period due to the seasonality of our business and fluctuations in our operating costs.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results may vary significantly from period to period due to many factors, including seasonal factors that may have an effect on the demand for our Smart EVs and NEVs. Demand for new cars typically declines around the Chinese New Year holiday, while sales are generally higher in the fourth quarter of a calendar year. Our limited operating history makes it difficult for us to judge the exact nature or extent of the seasonality of our business. The cyclicality in seasonal fluctuations may continue in the foreseeable future. Accordingly, our revenue, cash flow, operating results and other key operating and performance metrics may vary from quarter to quarter due to the seasonal nature of the market demand. Uneven cash flow from quarter to quarter may cause additional difficulties in our efforts to manage liquidity and may materially and adversely affect our liquidity and our ability to fund and expand our business. In addition, we may record significant increase in revenues when we commence mass delivery of a new product to fulfill customer orders accumulated in prior periods, but we may not be able to maintain our revenues at similar levels in subsequent periods. Also, any health pandemics or epidemics such as the COVID-19 pandemic and natural disasters such as unusually severe weather conditions in some markets may impact demand for, and our ability to manufacture and deliver, our Smart EVs and NEVs. Our operating results could also suffer if we do not achieve revenues consistent with our expectations for this seasonal demand because many of our expenses are based on anticipated levels of annual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expect our period-to-period operating results to vary based on our operating costs, which we anticipate will increase significantly in future periods as we, among other things, design and develop new models, develop new technological capabilities, ramp up our manufacturing facilities and expand our physical sales network, as well as expanding our general and administrative functions to support our growing operations. We may incur substantial research and development and/or selling expenses when we develop and/or promote a new product in a given period without generating any revenue from such product until we start delivery of such products to customers in future periods. As a result of these factors, we believe that period-to-period comparisons of our operating results are not necessarily meaningful and that these comparisons may not be indicative of future performance. Moreover, our operating results may not meet expectations of equity research analysts or investors. If this occurs, the trading price of our ADSs and/or Class A ordinary shares could fall substantially either suddenly or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revenues generated from a limited number of Smart EV and NEV models.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initially depended substantially on the sales and success of the G3, a compact SUV, which was our only mass-produced Smart EV in the market prior to May 2020, and since then we have successively launched a number of vehicle models and their variants. On the other hand, as we continue to adjust our product offerings, certain vehicle models have also phased out of our product portfolio. As of the date of this annual report, our product offering included the MONA M03, the Next P7, the P7+ (including the P7+ EREV), the G6 (including the G6 EREV), the G7 (including the G7 EREV), the G9, the X9 (including the X9 EREV). Historically, automobile customers have come to expect a variety of vehicle models offered in an OEM’s product portfolio and new and improved vehicle models to be introduced frequently. In order to meet these expectations, we plan to continuously introduce new models to enrich our product portfolio, as well as introducing new versions of existing Smart EV and NEV models. To the extent our product variety and cycles do not meet consumer expectations, or cannot be produced on our projected timelines and cost and volume targets, our future sales may be adversely affected. Given that for the foreseeable future our business will depend on a limited number of models, to the extent a particular model is not well-received by the market, our sales volume could be materially and adversely affected. This could have a material adverse effect on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customers may cancel their orders despite their deposit payment and online confirmation. </w:t>
      </w:r>
    </w:p>
    <w:p>
      <w:pPr>
        <w:pStyle w:val="TextBody"/>
        <w:bidi w:val="0"/>
        <w:spacing w:before="120" w:after="0"/>
        <w:jc w:val="left"/>
        <w:rPr>
          <w:rFonts w:ascii="Times New Roman" w:hAnsi="Times New Roman"/>
          <w:sz w:val="20"/>
        </w:rPr>
      </w:pPr>
      <w:r>
        <w:rPr>
          <w:rFonts w:ascii="Times New Roman" w:hAnsi="Times New Roman"/>
          <w:sz w:val="20"/>
        </w:rPr>
        <w:t xml:space="preserve">Orders and reservations for our Smart EVs and NEVs are subject to cancelation by the customer prior to the delivery of the Smart EV and NEV. Our customers may cancel their orders for many reasons beyond our control, and we have experienced cancelation of orders in the past. In addition, customers may cancel their orders even after they have paid deposits. The potentially long wait from the time a reservation is made until the time the Smart EV and NEV are delivered could also impact customer decisions on whether to ultimately make a purchase, due to potential changes in preferences, competitive developments, and other factors. If we encounter delays in the deliveries of our Smart EVs or NEVs, a significant number of orders may be canceled. As a result, we cannot assure you that orders will not be canceled and will ultimately result in the final purchase, delivery, and sale of the Smart EVs and NEVs. Such cancelations could harm our business, brand image,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shortage in the supply of semiconductors may be disruptive to the Group’s operations and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automotive industry has experienced in recent years, and may continue to experience in the future, a global shortage in the supply of semiconductors. Since October 2020, the supply of semiconductors used for automotive production has been subject to a global shortage. In addition, certain high-demand semiconductors and other critical components, such as memory chips, have faced supply constraints and shortage from time to time. For instance, industry-wide shortages of memory chips since 2025 and relevant pricing fluctuations resulting from supply-demand imbalance may adversely affect our ability to obtain sufficient quantities of such components on commercially reasonable terms, or at all, which could materially adversely affect our business, results of operations, financial condition and stock price. There is no assurance that we will be able to obtain sufficient number of semiconductor-contained components at reasonable cost for the Group’s operations, to the extent that such semiconductor shortage continues or reoccurs in the future. In addition, we source a number of semiconductor-contained components used by us from single-source suppliers. Should any single-source suppliers of semiconductor-contained components become unable to meet our demand or become unwilling to do so on terms that are acceptable to us, it may take us significant time, and we may incur significant expenses to find alternative suppliers. In October 2022, the BIS released broad changes in export controls, including new regulations restricting the export to China of advanced semiconductors, supercomputer technology, equipment for the manufacturing of advanced semiconductors and associated components and technology. On October 17, 2023, the BIS announced additional semiconductor regulations expanding and enhancing export controls under the October 2022 regulations. In December 2024, the BIS announced further restrictions on the export of technologies relating to advanced-node semiconductors. On January 13, 2025, BIS announced an export control framework for artificial intelligence diffusion that would have imposed additional restrictions on advanced computing chips and certain artificial intelligence model weights in connection with China; however, in May 2025, the U.S. Department of Commerce rescinded this framework before its original compliance requirements took effect while announcing additional actions in the meanwhile to strengthen export controls on semiconductors worldwide. Additionally, in January 2025, a program established by the U.S. Department of the Treasury became effective (the “Outbound Investment Rule”), which imposed restrictions on U.S. outbound investment transactions involving persons of “countries of concern,” a designation currently limited to China, in certain technology sectors. On December 18, 2025, the Comprehensive Outbound Investment National Security Act of 2025, or the COINS Act, was signed into law, which, among others, required U.S. Department of the Treasury to issue regulations that may amend, supersede, or otherwise modify the existing Outbound Investment Rule not later than 450 days after the date of the COINS Act’s enactment. The content of the implementation regulations remain uncertain, and in the meantime, the existing Outbound Investment Rule will remain in effect. Our existing or potential suppliers may be adversely affected by this program, with their funding sources and partnerships with U.S. entities being restricted by the program. These export controls and regulatory restrictions, as well as other similar regulatory restrictions that may be imposed from time to time, may adversely affect certain parts of our operations, including our efforts to develop and utilize our processing hardware. There can be no assurance that the United States or other countries will not impose more stringent export controls that may prohibit or restrict our ability to, directly or indirectly, source semiconductor and other components and raw materials, or otherwise affect our business. It is difficult to predict what further trade-related actions the United States or other governments may take, and we may be unable to quickly and effectively react to or mitigate such actions. If we were required to utilize another supplier for semiconductor-contained components, we would need to qualify and customize the components from alternative suppliers, which could be time-consuming and require substantial expenses. If we are unable to find an alternative supplier willing and able to meet our needs on terms acceptable to us on a timely basis or at all, our production and deliveries would be materially disrupted, which may materially and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significant losses and had recorded negative cash flows from operating activities in the past, all of which may continue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not been profitable since our inception. The design, manufacture, sale and servicing of Smart EVs and NEVs is a capital-intensive business. We have been incurring losses from operations since inception. We incurred net losses of RMB10,375.8 million, RMB5,790.3 million and RMB1,139.5 million for 2023, 2024 and 2025, respectively. We have had negative cash flows from operating activities since inception. Net cash used in operating activities was RMB2,012.3 million for 2024. Although we recorded net cash provided by operating activities of RMB956.2 million for 2023 and RMB8,258.5 million for 2025, we cannot assure you that we will achieve or maintain such positive cash flow in the future. In addition, we have made significant up-front investments in research and development, our vehicle plants in Zhaoqing and Guangzhou and the new manufacturing base in Wuhan, our sales and service network, our charging network, as well as marketing and advertising, to rapidly develop and expand our business. We expect to continue to invest significantly in these areas to further expand our business, and there can be no assurance that we will successfully execute our business strategies. We may not generate sufficient revenues for a number of reasons, including lack of demand for our Smart EVs and NEVs and services, increasing competition, challenging macro-economic environment, supply chain disruption, as well as other risks discussed herein. Our ability to become profitable in the future will not only depend on our efforts to sell our Smart EVs and NEVs and services but also to control our costs. If we are unable to adequately control the costs associated with the Group’s operations, we may continue to experience losses and negative cash flows from operating activities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may need additional capital resources in the future if we experience changes in business condition or other unanticipated developments, or if we wish to pursue opportunities for investments, acquisitions, capital expenditures or similar actions. In addition, other than years of 2023 and 2025, we have not recorded net income since inception or positive cash flows from operating activities in any other financial year . As such, we may continue to rely on equity or debt financing to meet our working capital and capital expenditure requirements. If we were unable to obtain such financing in a timely manner or on terms that are acceptable, or at all, we may fail to implement our business plans or experience disruptions in our operating activities, and our business, financial condition and results of operations would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plans require a significant amount of capital. If we fail to obtain required external financing to sustain our business, we may be forced to curtail or discontinue the Group’s operations. In addition, our future capital needs may require us to sell additional equity or debt securities that may dilute our shareholders or introduce covenants that may restrict the Group’s operations or our ability to pay dividends.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our future plans are capital-intensive. We will need significant capital to, among other things, conduct research and development, ramp up our production capacity and expand our sales and service network. As we ramp up our production capacity and operations, we may also require significant capital to maintain our property, plant and equipment and such costs may be greater than anticipated. We expect that our level of capital expenditures will be significantly affected by user demand for our Smart EVs and NEVs and services. Given we have a limited operating history, we have limited historical data on the demand for our Smart EVs and NEVs and services. As a result, our future capital requirements may be uncertain and actual capital requirements may be different from those we currently anticipate. We plan to seek equity or debt financing to finance a portion of our capital needs. On December 6, 2023, we completed the issuance of 94,079,255 Class A ordinary shares to the Volkswagen Group for approximately US$705.6 million. However, such financing might not be available to us in a timely manner or on terms that are acceptable, or at all, in the future. If we fail to obtain required additional financing to sustain our business before we are able to produce levels of revenue to meet our financial needs, we would need to delay, scale back or eliminate our business plan and may be forced to curtail or discontinue the Group’s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In particular, recent disruptions in the financial markets and volatile economic conditions could affect our ability to raise capital. If we are unable to raise sufficient funds, we will have to significantly reduce our spending or delay or cancel our planned activities. In addition, our future capital needs and other business reasons could require us to sell additional equity or debt securities or obtain a credit facility. The sale of additional equity or equity-linked securities could dilute our shareholders. We may also raise equity financing through one or more of our operating subsidiaries in the PRC. As a result, our net loss or net income would be partially attributable to the investors of such operating subsidiaries, which would affect net loss or net income attributable to shareholders of XPeng Inc. The issuance of debt securities and incurrence of additional indebtedness would result in increased debt service obligations. Holders of any debt securities or preferred shares will have rights, preferences and privileges senior to those of holders of our ordinary shares in the event of liquidation. Any financial or other restrictive covenants from any debt securities would restrict the Group’s operations or our ability to pay dividends to our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evaluate and potentially consummate strategic investments or acquisitions, which could require significant management attention, disrupt our business and adversely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We may evaluate and consider strategic investments, combinations, acquisitions or alliances to enhance our competitive position. These transactions could be material to our financial condition and results of operations if consummated. If we are able to identify an appropriate business opportunity, we may not be able to successfully consummate the transaction and, even if we do consummate such a transaction, we may be unable to obtain the benefits or avoid the difficulties and risks of such transaction, which may result in investment losses. See “Item 4. Information on the Company — B. Business Overview — Strategic Transactions.” Our past experience with any strategic investments, combinations, acquisitions or alliances may not be indicative of whether we are more or less likely to consummate these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Strategic investments or acquisitions will involve risks commonly encountered in business relationships,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assimilating and integrating the operations, personnel, systems, data, technologies, products and services of the acquired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acquired technologies, products or businesses to achieve expected levels of revenue, profitability, productivity or other benefits including the failure to successfully further develop the acquired technology;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retaining, training, motivating and integrating key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time and resources from our normal daily operations and potential disruptions to our ongoing businesses;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strain on our liquidity and capital resources;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executing intended business plans and achieving synergies from such strategic investments or acquisitions;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maintaining uniform standards, controls, procedures and policies within the overall organization;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retaining relationships with existing suppliers and other partners of the acquired business;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of entering markets in which we have limited or no prior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risks, including remaining in good standing with existing regulatory bodies or receiving any necessary pre-closing or post-closing approvals, as well as being subject to new regulators with oversight over an acquired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assumption of contractual obligations that contain terms that are not beneficial to us, require us to license or waive intellectual property rights or increase our risk for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liability for activities of the acquired business before the acquisition, including intellectual property infringement claims, violations of laws, commercial disputes, tax liabilities and other known and unknown liabilities; and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and unknown risks and liabilities associated with strategic investments or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future investments or acquisitions may not be successful, may not benefit our business strategy, may not generate sufficient revenues to offset the associated acquisition costs or may not otherwise result in the intended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entered into collaborations, and may establish or seek collaborations, and we may not timely realize the benefits of such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pursued and may continue to pursue strategic collaborations and strategic acquisition opportunities to increase our scale, expand our product portfolios and capabilities and enhance our industry and technical expertise. In 2023, we have entered into the VW Technical Framework Agreement and the DiDi Strategic Cooperation Agreement. We are in the process of implementing such cooperations, which we believe are conducive to our business. In 2024 and 2025, we entered into a series of collaborations with the Volkswagen Group with respect to the E/E Architecture Technical Collaboration and supercharging networks. See “Item 4. Information on the Company — B. Business Overview — Strategic Transactions.” However, we have a limited track record of providing technical services under the Technical Collaboration, and we primarily rely on the Volkswagen Group for the revenue arising from such services. We may not be able to diversify our strategic partners, maintain our business relationship with existing strategic partners or secure new contracts from them in the future. In the event any of our customers scales back and the demand for our services decline, or our relationship with a strategic partner degrades, there may be material fluctuations in our revenue from such services. In addition, should our strategic partner delay or default in making payments to us or at all, our cash flow and financial position would be adversely affected. In addition, whether such cooperation will in fact yield the expected strategic benefits is subject to uncertainties and we may not realize the full benefits of relevant strategic collaborations, including the synergies, cost savings or growth opportunities that we expect. For example, the vehicle models under the cooperation with the Volkswagen Group may not achieve mass production or customer delivery in a timely manner, or at all, and the market acceptance of such vehicle models may not be satisfactory. While there is an earn-out arrangement under the DiDi Share Purchase Agreement to incentivize our cooperation with DiDi, the milestones under such earn-out arrangement may not be achieved. The implementation and outcome of the cooperation depend on various factors, many of which may be beyond our control. Furthermore, if we are unable to maintain or expand our collaboration with our partners in the future, our business and operating results may be materially and adversely affected. To the extent we cannot maintain any of our strategic partnerships, it may be very difficult for us to identify qualified alternative partners, which may divert significant management attention from existing business operations and adversely impact our daily operation and client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unavailability, reduction or elimination of government and economic incentives or government policies that are favorable for new energy vehicles and domestically produced vehicles could materially and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has benefited from government subsidies, economic incentives and government policies that support the growth of new energy vehicles. For example, each qualified purchaser of our Smart EVs and NEVs enjoys subsidies from China’s central government and certain local governments. Furthermore, in certain cities, municipal government may adopt quotas that limit the purchase of ICE vehicles but not EVs, thereby incentivizing the purchases of EVs. On June 19, 2023, the MOF and the MIIT issued the Announcement on Continuation and Optimization for the Exemption of Vehicle Purchase Tax for New Energy Vehicles, pursuant to which new energy vehicles purchased during the period from January 1, 2024 to December 31, 2025 shall be exempted from the vehicle purchase tax and the exemption amount for each new energy passenger vehicle shall not exceed RMB30,000; new energy vehicles purchased during the period from January 1, 2026 to December 31, 2027 shall be subject to the vehicle purchase tax at a reduced rate by half and the exemption amount for each new energy passenger vehicle shall not exceed RMB15,000. China’s central government also provides certain local governments with funds and subsidies to support the roll out of a charging infrastructure. These policies are subject to certain limits as well as changes that are beyond our control, and we cannot assure you that future changes, if any, would be favorable to our business. For instance, in January 2022, the MOF, together with several other PRC government departments, issued the Notice on the Fiscal Subsidy Policies for the Promotion and Application of New Energy Vehicles for 2022, or the 2022 Subsidy Notice. The 2022 Subsidy Notice provides that the subsidies for new energy vehicle purchases in 2022 will be generally lowered by 30%, and such subsidies will be eliminated at the end of 2022. In April 2024, the MOFCOM, the MOF, together with several other PRC government departments, jointly issued the Implementation Rules on the Subsidies for Automobiles Trade-in, or the 2024 Trade-in Policy, which, among others, offered a one-off subsidy of up to RMB10,000 for buyers who trade-in certain types of old automobiles for new EVs by the end of 2024. The 2024 Trade-in Policy was adjusted in August 2024, which, among others, raised the trade-in subsidy cap to up to RMB20,000 for the above-mentioned EV-buyers. In January 2025, the MOF, together with several other PRC government departments, jointly issued a Notice on Automobile Trade-in Policy in 2025, or the 2025 Trade-in Policy, which, among others, continued the subsidy standards under the adjusted 2024 Trade-in Policy and further expanded the range of old automobiles eligible for such trade-in subsidies in 2025. In addition, on December 30, 2025, the MOF, together with several other PRC government departments, jointly issued the Implementation Rules on Subsidies for Automobile Trade-in in 2026, or the 2026 Trade-in Policy, which became effective on January 1, 2026. Pursuant to the 2026 Trade-in Policy, eligible individual consumers may receive one-off subsidies of up to RMB 20,000 for scrapping old vehicles and purchasing new energy passenger vehicles, or up to RMB 15,000 for trading in old vehicles and purchasing new energy passenger vehicles, and such subsidies can be applied in conjunction with the 50% reduction of vehicle purchase tax for new energy vehicles applicable in 2026. However, we cannot predict whether such governmental subsidies will be available or reduced in the future. Any expiration, reduction and elimination of such subsidies may diminish consumers’ demand for our Smart EVs and NEVs, which could further adversely affect our revenues and results of operations. Furthermore, we have received subsidies from certain local governments in relation to our manufacturing bases. Any reduction or elimination of government subsidies and economic incentives because of policy changes, fiscal tightening or other factors may result in the diminished competitiveness of the EV industry generally or our Smart EVs and NEVs in particular. In addition, as we seek to increase our revenues from vehicle sales, we may also experience an increase in accounts receivable relating to government subsidies. Any uncertainty or delay in collection of the government subsidies may also have an adverse impact on our financial condition. Any of the foregoing could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face increased competition from foreign OEMs due to changes in government policies. For example, the tariff on imported passenger vehicles (other than those originating in the United States of America) was reduced to 15% starting from July 1, 2018. On June 23, 2020, the National Development and Reform Commission, or NDRC, and the Ministry of Commerce of the PRC, or the MOFCOM, promulgated the Special Administrative Measures for Market Access of Foreign Investment, or the 2020 Foreign Investment Negative List, effective on July 23, 2020, under which there is no limit on foreign ownership of new energy vehicle manufacturers. Furthermore, according to the latest revised Special Administrative Measures for Market Access of Foreign Investment as promulgated on September 6, 2024, or the 2024 Foreign Investment Negative List, which took effect from November 1, 2024, there are no foreign investment restrictions on the industry of vehicle manufacturing. As a result, foreign EV competitors could build wholly-owned facilities in China without the need for a domestic joint venture partner. For example, Tesla has constructed the Tesla Giga Shanghai factory in Shanghai without a joint venture partner. These changes could increase our competition and reduce our pricing advantage.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Actual or alleged failure to comply with laws, regulations, rules, policies and other obligations regarding privacy, data protection, cybersecurity and information security could subject us to significant reputational, financial, legal and operational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strict information security policies, and we use a variety of technologies to protect the data with which we are entrusted. We mainly collect and store data relating to the usage of the ADAS, infotainment system, as well as data collected through our sales and services channels. To the extent we collect customer information, we obtain such data in accordance with applicable laws and regulations. We anonymize personal data by removing personally identifiable information, when such information is not relevant to our business. We then analyze such information to improve our technologies,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Nevertheless, collection, use and transmission of customer data may subject us to legislative and regulatory burdens in China and other jurisdictions, which could, among other things, require notification of data breach, restrict our use of such information and hinder our ability to acquire new customers or serve existing customers. If users allege that we have improperly collected, used, transmitted,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various laws and regulations on privacy, data protection, cybersecurity and information security in China and other jurisdictions. See “Item 4. Information on the Company—B. Business Overview—Regulation—Regulation Related to Internet Security and Privacy Protection” for further details. The interpretation and application of personal information protection laws and regulations and standards are still uncertain and evolving. We cannot assure you that relevant governmental authorities will not interpret or implement the laws or regulations in ways that negatively affect us. We may also become subject to additional or new laws and regulations regarding the protection of cybersecurity and information security, personal information or privacy-related matters in connection with our methods for data collection, analysis, storage and use. </w:t>
      </w:r>
    </w:p>
    <w:p>
      <w:pPr>
        <w:pStyle w:val="TextBody"/>
        <w:bidi w:val="0"/>
        <w:spacing w:before="240" w:after="0"/>
        <w:jc w:val="left"/>
        <w:rPr>
          <w:rFonts w:ascii="Times New Roman" w:hAnsi="Times New Roman"/>
          <w:sz w:val="20"/>
        </w:rPr>
      </w:pPr>
      <w:r>
        <w:rPr>
          <w:rFonts w:ascii="Times New Roman" w:hAnsi="Times New Roman"/>
          <w:sz w:val="20"/>
        </w:rPr>
        <w:t>As of the date of this annual report, we have not been informed by any PRC governmental authority of any requirement that we shall apply for approval or filings for our initial public offering in the U.S. in August 2020, our follow-on public offering completed in December 2020 or our listing on the Hong Kong Stock Exchange and the associated public offering in July 2021</w:t>
      </w:r>
      <w:r>
        <w:rPr>
          <w:rFonts w:ascii="Times New Roman" w:hAnsi="Times New Roman"/>
          <w:i/>
          <w:sz w:val="20"/>
        </w:rPr>
        <w:t>.</w:t>
      </w:r>
      <w:r>
        <w:rPr>
          <w:rFonts w:ascii="Times New Roman" w:hAnsi="Times New Roman"/>
          <w:sz w:val="20"/>
        </w:rPr>
        <w:t xml:space="preserve"> However, we are not certain whether the Revised Cybersecurity Review Measures or any relevant future laws, rules or regulations will apply to our company and follow-on offerings of foreign listed companies, or whether the scope of financing activities that are subject to the cybersecurity review may change in the future. We believe that the Group has complied with the applicable regulations and policies that have been issued by the Cybersecurity Administration of China, or CAC, to date in all material respects. As of the date of this annual report, the Group has not been involved in any cybersecurity review initiated by the CAC, and the Group has not received any inquiry, notice, warning, or sanction in such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that the relevant laws, regulations and policies were recently promulgated or issued, their interpretation, application and enforcement are subject to uncertainties. We have incurred, and will continue to incur, significant expenses in an effort to comply with privacy, data protection, cybersecurity and information security related laws, regulations, standards and protocols, especially as a result of such newly promulgated laws and regulations. Despite our efforts to comply with applicable laws, regulations and policies relating to privacy, data protection, cybersecurity and information security, we cannot assure you that our practices, offerings, services or platform will meet all of the requirements imposed on us by such laws, regulations or policies. Any failure or perceived failure to comply with applicable laws, regulations or policies may result in inquiries or other proceedings being instituted against, or other lawsuits, decisions or sanctions being imposed on us by governmental authorities, users, consumers or other parties, including but not limited to warnings, fines, directions for rectifications, suspension of the related business and termination of our applications, as well as in negative publicity on us and damage to our reputation, any of which could have a material adverse effect on our business, results of operations, financial condition and prospects. The above-mentioned newly promulgated laws, regulations and policies or relevant drafts may result in the publication of new laws, regulations and policies to which we or our vehicles may be subject, though the timing, scope and applicability of such laws or regulations are currently unclear. Any such laws, regulations or policies could negatively impact our business, results of operations and financial condition. We may be notified for cybersecurity review by the CAC if we were regarded as a critical information infrastructure operator, or if our data processing activities and overseas listing or follow-on financing activities were regarded as having impact or potential impact to national security, and be required to make significant changes to our business practices, or even be prohibited from providing certain service offerings in jurisdictions in which we currently operate or in which we may operate in the future. Such review could also result in negative publicity with respect to us and diversion of our managerial and financial resources. There can be no assurance that we would be able to complete the applicable cybersecurity review procedures in a timely manner, or at all, if we are required to follow such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misuse of smart technology, such as facial recognition technology, may have a material adverse effect on our reputation and results of operations. We historically engaged a third-party service provider to analyze the background of visitors of certain of our stores in Shanghai through facial recognition technology. Due to the lack of visitor consent and other requisite procedures, such practice was found to be in violation of the PRC Customer Rights Protection Law by the local administration for market regulation, and we were subject to an immaterial amount of fine. We have terminated our collaboration with the third-party service provider, and the relevant visitor data has been deleted. While we have enhanced our compliance measures since this incident, we cannot assure you that we will always be deemed to be in compliance with data privacy laws and regulations by the relevant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began shipping Smart EVs to Europe in September 2020 and must therefore comply with the General Data Protection Regulation (EU) 2016/679 that became applicable on May 25, 2018, or the GDPR. The GDPR places stringent obligations and operational requirements on processors and controllers of personal data, including requiring expanded disclosures to data subjects about how their personal data is to be used, limitations on retention of information, mandatory data breach notification requirements, and higher standards for data controllers to demonstrate that they have obtained either valid consent or have another legal basis in place to justify their data processing activities. As we further our globalization strategy, we may face additional challenges in additional jurisdictions with respect to privacy, data protection, cybersecurity and information security. If we were found to be in violation of the relevant laws, we could face administrative investigation, disciplinary actions, civil claims and reputational damage. We may incur significant expenses to comply with laws and regulations relating to data privacy, data security and consumer protection, as well as relevant industry standards and contractual obligations. If third parties improperly obtain and use the personal information of our customers, we may be required to expend significant resources to resolve such problems.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regulatory requirements, consumer attitudes towards data privacy are also evolving, and consumer concerns about the extent to which their data is collected by us may adversely affect our ability to gain access to data and improve our technologies, products and services. Furthermore, the integrity of our data protection measures could be compromised by system failures, security breaches or cyber-attacks. If we are unable to comply with the applicable laws and regulations or effectively address data privacy and protection concerns, such actual or alleged failure could damage our reputation, discourage consumers from purchasing our Smart EVs and NEVs and subject us to significant legal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prospects depend significantly on our ability to build our XPENG brand. We may not succeed in continuing to develop, maintain and strengthen our brands, and our brands and reputation could be harmed by negative publicity regarding our company, products or services.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prospects are heavily dependent on our ability to develop, maintain and strengthen the “XPENG” brand, as well as other brands that we may develop and promote in the future. If we do not continue to develop, maintain and strengthen our brands, we may lose the opportunity to build a critical mass of customers. Promoting and positioning our brands will likely depend significantly on our ability to provide high quality Smart EVs and NEVs and services, and we have limited experience in these areas. In addition, we expect that our ability to develop, maintain and strengthen our brands will depend heavily on the success of our sales and marketing efforts. For example, we seek to enhance our brand recognition by locating many of our stores in shopping malls. We also advertise our Smart EVs and NEVs through various online channels, including several social media platforms and e-commerce platforms. While we seek to optimize resource allocation through careful selection of sales and marketing channels, such efforts may not achieve the desired results. Our increasing efforts on expansion through franchise may lead to additional challenges to our branding management. To promote our brands, we may be required to change our branding practices, which could result in substantially increased expenses, including the need to utilize traditional media and offline advertising. If we do not develop and maintain a strong brand, our business, prospects, financial condition and operating results will be materially and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If incidents, such as self-ignition and products recall, occur or are perceived to have occurred, whether or not such incidents are our fault, we could be subject to adverse publicity. See “—We may choose to or be compelled to undertake product recalls or take other similar actions, which could adversely affect our brand image, business and results of operations.” Given the popularity of social media in China, any negative publicity, whether true or not, could quickly proliferate and harm consumer perceptions and confidence in our brand. In addition, from time to time, our Smart EVs and NEVs are evaluated and reviewed by third parties. Any negative reviews or reviews which compare us unfavorably to competitors could adversely affect consumer perception about our Smart EVs and NEVs.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problems or delays in maintaining operations and expanding the capacity of our Zhaoqing plant and Guangzhou plant or the establishment of new manufacturing base in Wuhan could negatively affect the production of our Smart EVs and NEVs. </w:t>
      </w:r>
    </w:p>
    <w:p>
      <w:pPr>
        <w:pStyle w:val="TextBody"/>
        <w:bidi w:val="0"/>
        <w:spacing w:before="120" w:after="0"/>
        <w:jc w:val="left"/>
        <w:rPr>
          <w:rFonts w:ascii="Times New Roman" w:hAnsi="Times New Roman"/>
          <w:sz w:val="20"/>
        </w:rPr>
      </w:pPr>
      <w:r>
        <w:rPr>
          <w:rFonts w:ascii="Times New Roman" w:hAnsi="Times New Roman"/>
          <w:sz w:val="20"/>
        </w:rPr>
        <w:t xml:space="preserve">To exercise direct control over product quality and gain more flexibility in adjusting our manufacturing process and production capacity, we built our own plants in Zhaoqing and Guangzhou, Guangdong province. Currently, we mainly manufacture our vehicles at our plants in Zhaoqing and Guangzhou. Our future operation and prospects depend on our ability to successfully maintain the operation, and expand the capacity, of the Zhaoqing plant and the Guangzhou plant. In addition, we need to effectively control cost of production at the Zhaoqing plant and Guangzhou plant. We have limited experience in the production of Smart EVs and NEVs. Given the size and complexity of this undertaking, it is possible that we may experience issues, delays or cost overruns in further expanding the production output at the Zhaoqing plant and Guangzhou plant.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2020, we entered into a cooperation agreement with Guangzhou GET Investment Holdings Co., Ltd., or Guangzhou GET Investment, a wholly-owned investment company of Guangzhou Economic and Technological Development Zone, which is a local government authority in Guangzhou. The construction of the Guangzhou plant was completed in June 2022 and it houses a broad range of functions, including research and development, manufacturing, vehicle testing and sales. We started manufacturing Smart EVs at the Guangzhou plant in December 2022. </w:t>
      </w:r>
    </w:p>
    <w:p>
      <w:pPr>
        <w:pStyle w:val="TextBody"/>
        <w:bidi w:val="0"/>
        <w:spacing w:before="240" w:after="0"/>
        <w:jc w:val="left"/>
        <w:rPr>
          <w:rFonts w:ascii="Times New Roman" w:hAnsi="Times New Roman"/>
          <w:sz w:val="20"/>
        </w:rPr>
      </w:pPr>
      <w:r>
        <w:rPr>
          <w:rFonts w:ascii="Times New Roman" w:hAnsi="Times New Roman"/>
          <w:sz w:val="20"/>
        </w:rPr>
        <w:t xml:space="preserve">In April 2021, we entered into an investment agreement with Wuhan Economic &amp; Technological Development Zone Management Committee, or Wuhan ETDZ Committee, a local government authority in Wuhan. Pursuant to the investment agreement, Wuhan ETDZ Committee agrees to support our construction of a new manufacturing base and research and development center in the Wuhan Economic &amp; Technological Development Zone. As of March 31, 2026, we had completed the construction of our new manufacturing base in Wuhan and had obtained the property ownership certificate upon completion of the inspection and acceptance procedures conducted by relevant government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commencement of its operation may be affected by, among other things, availability of funding, progress of the construction and the installation of production equipment, grant of applicable regulatory approvals, as well as the hiring and retention of qualified employees. Any policy change affecting investments in manufacturing facilities in general may also have an impact on the establishment of our new manufacturing base. There can be no assurance that the new manufacturing base will be able to commence operation for manufacturing of Smart EVs and NEVs in accordance with our plan. In addition, we may not be able to successfully ramp up and maintain its operation. We must also maintain good working relationships with Wuhan ETDZ Committee throughout the term of our cooperation. In addition, upon the commencement of operations of the new manufacturing base in Wuhan, our depreciation expenses will increase, which could adversely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any issues or delays in meeting our projected timelines, maintaining sufficient funding and capital efficiency, increasing production capacity or generating sufficient demand for production in our Zhaoqing, Guangzhou and the establishment of the new manufacturing base in Wuhan, our business, prospects, operating results and financial condition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dependent on our suppliers, some of which are single-source suppliers. Suppliers may fail to deliver necessary components of our Smart EVs and NEVs according to our schedule and at prices, quality levels and volumes acceptable to us. </w:t>
      </w:r>
    </w:p>
    <w:p>
      <w:pPr>
        <w:pStyle w:val="TextBody"/>
        <w:bidi w:val="0"/>
        <w:spacing w:before="120" w:after="0"/>
        <w:jc w:val="left"/>
        <w:rPr>
          <w:rFonts w:ascii="Times New Roman" w:hAnsi="Times New Roman"/>
          <w:sz w:val="20"/>
        </w:rPr>
      </w:pPr>
      <w:r>
        <w:rPr>
          <w:rFonts w:ascii="Times New Roman" w:hAnsi="Times New Roman"/>
          <w:sz w:val="20"/>
        </w:rPr>
        <w:t xml:space="preserve">We procure components from both domestic suppliers and global suppliers, some of which are currently our single-source suppliers for certain components. We attempt to mitigate our supply chain risk by qualifying and obtaining components from multiple sources where practicable and maintaining safety stock for certain key components and components with lengthy procurement lead times. However, we may still experience component shortages for our production, or the components may not meet our specifications or quality needs. For example, some of our suppliers were unable to deliver sufficient components to us during the COVID-19 pandemic. Furthermore, qualifying alternative suppliers or developing our own replacements for certain highly customized components of our Smart EVs and NEVs may be time-consuming and costly. Any disruption in the supply of components, whether or not from a single-source supplier, could temporarily disrupt production of our Smart EVs and NEVs until an alternative supplier is fully qualified by us or we are able to procure the relevant components in sufficient quantities from other existing suppliers. Any failure to timely find alternative component sources may materially delay delivery of our Smart EVs and NEVs, which may materially and adversely impact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manufacture certain key hardware components for our ADAS, such as semiconductors, millimeter-wave radars, ultrasonic sensors and cameras, and we import certain of such components from foreign countries. The loss of any supplier for any reason, including any export control measures adopted by any foreign country to limit the import of supplies into China, could lead to vehicle design changes, production delays and potential loss of access to important technologies, any of which could result in quality issues, delays and disruptions in deliveries, negative publicity and damage to our brand. In particular, we source a number of semiconductor-contained components from single-source suppliers. If any of such suppliers fails to meet our demand, it may take us significant time, and we may incur significant expenses to find alternative suppliers and qualify their components. In October 2022, the BIS released broad changes in export controls, including new regulations restricting the export to China of advanced semiconductors, supercomputer technology, equipment for the manufacturing of advanced semiconductors and associated components and technology. On October 17, 2023, the BIS announced additional semiconductor regulations expanding and enhancing export controls under the October 2022 regulations. In December 2024, the BIS announced further restrictions on the export of technologies relating to advanced-node semiconductors. On January 13, 2025, BIS announced an export control framework for artificial intelligence diffusion that would have imposed additional restrictions on advanced computing chips and certain artificial intelligence model weights in connection with China; however, in May 2025, the U.S. Department of Commerce rescinded this framework before its original compliance requirements took effect while announcing additional actions to strengthen export controls on semiconductors worldwide. These export controls and regulatory restrictions, as well as other similar regulatory restrictions that may be imposed from time to time, may adversely affect our suppliers’ capability to provide us with qualified products that meet our standard. There can be no assurance that the United States or other countries will not impose more stringent export controls that may prohibit or restrict our ability to, directly or indirectly, source semiconductor and other components and raw materials, or otherwise affect our business. It is difficult to predict what further trade-related actions the United States or other governments may take, and we may be unable to quickly and effectively react to or mitigate such actions. See “—The shortage in the supply of semiconductors may be disruptive to the Group’s operations and adversely affect our business, results of operations and financial condition.” for details. In addition, our suppliers may fail to comply with applicable laws and regulations, or they may be involved in product liability claims or incidents of negative publicity. If any of these incidents occur, customers may also lose confidence in our Smart EVs and NEVs that incorporate components from the relevant suppliers, and our reputation, business and results of operations could be adversely affected. Developments that we cannot presently anticipate, such as changes in business conditions or government policies, natural disasters or epidemics, could also affect our suppliers’ ability to deliver components to us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significant increases in our production, such as the launch of a new model, has required and may in the future require us to procure additional components in a short amount of time. Our suppliers may not ultimately be able to sustainably and timely meet our cost, quality and volume needs, requiring us to replace them with other sources. While we believe that we will be able to secure additional or alternative sources of supply for most of our components in a relatively short time frame, there is no assurance that we will be able to do so or develop our own replacements for certain highly customized components. Additionally, we continuously negotiate with existing suppliers to obtain cost reductions and avoid unfavorable changes to terms, seek new and less expensive suppliers for certain parts, and attempt to redesign certain parts to make them less expensive to produce. If we are unsuccessful in our efforts to control and reduce supplier costs, our operating results will suffer.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 scale of the production for our Smart EVs and NEVs increases, we will need to accurately forecast, purchase, warehouse and transport components to the relevant manufacturing facilities and service stores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as well as storage, transportation and write-off costs. If we fail to accurately forecast the demand, including with respect to our vehicle models that are at or near the end of production cycle, we may experience inventory obsolescence and inventory shortage risk. We have incurred losses on purchase commitments mainly for raw materials in relation to the cessation of certain models, including the G3i in 2023, the P5 in 2024 and the P7 and P7i in 2025, as well as upgrades of certain models, and similar losses may occur in the future. All of the above could have a material adverse effect on our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costs, disruption of supply or shortage of components and materials could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incur significant costs related to procuring components and raw materials required to manufacture our Smart EVs and NEVs. We may experience cost increases, supply interruption and/or shortages relating to components and raw materials, which could materially and adversely impact our business, prospects, financial condition and operating results. We use various components and raw materials in our business, such as steel and aluminum, as well as lithium battery cells, millimeter-wave radar, or mmWave radar, and semiconductors. The prices for these components and materials fluctuate, and their available supply may be unstable, depending on market conditions and global demand for these materials, including as a result of increased production of EVs by our competitors, and could adversely affect our business and operating results. In addition, as we continue to increase our production, we may experience shortage of certain components and materials or other bottlenecks in our supply chain. </w:t>
      </w:r>
    </w:p>
    <w:p>
      <w:pPr>
        <w:pStyle w:val="TextBody"/>
        <w:bidi w:val="0"/>
        <w:spacing w:before="240" w:after="0"/>
        <w:jc w:val="left"/>
        <w:rPr>
          <w:rFonts w:ascii="Times New Roman" w:hAnsi="Times New Roman"/>
          <w:sz w:val="20"/>
        </w:rPr>
      </w:pPr>
      <w:r>
        <w:rPr>
          <w:rFonts w:ascii="Times New Roman" w:hAnsi="Times New Roman"/>
          <w:sz w:val="20"/>
        </w:rPr>
        <w:t xml:space="preserve">For instance, we are exposed to multiple risks relating to lithium battery cells. These risks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the cost, or decrease in the available supply, of materials used in the battery cells, such as lithium, nickel, cobalt and manganese, which would in turn result in an increase in the cost of lithium battery cells;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 in the supply of battery cells due to quality issues or recalls by battery cell manufacturers;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or unwillingness of our current battery cell manufacturers to build or operate battery cell manufacturing plants to supply the numbers of lithium cells required to support the growth of the EV industry as demand for such battery cells increases.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is dependent on the continued supply of battery cells for the battery packs used in our Smart EVs and NEVs. While we believe several sources of the battery cells are available for such battery packs, we have to date fully qualified only a very limited number of suppliers for the battery cells used in such battery packs and have very limited flexibility in changing battery cell suppliers. Any disruption in the supply of battery cells from such suppliers could disrupt production of our Smart EVs and NEVs until such time as a different supplier is fully qualified. There can be no assurance that we would be able to successfully retain alternative suppliers on a timely basis, on acceptable terms or at all. For example, we have experienced certain supply shortages of mmWave radar in the past, which affected our vehicle deliveries. </w:t>
      </w:r>
    </w:p>
    <w:p>
      <w:pPr>
        <w:pStyle w:val="TextBody"/>
        <w:bidi w:val="0"/>
        <w:spacing w:before="240" w:after="0"/>
        <w:jc w:val="left"/>
        <w:rPr>
          <w:rFonts w:ascii="Times New Roman" w:hAnsi="Times New Roman"/>
          <w:sz w:val="20"/>
        </w:rPr>
      </w:pPr>
      <w:r>
        <w:rPr>
          <w:rFonts w:ascii="Times New Roman" w:hAnsi="Times New Roman"/>
          <w:sz w:val="20"/>
        </w:rPr>
        <w:t xml:space="preserve">Furthermore, tariffs or shortages in petroleum and other economic conditions may result in significant increases in freight charges and material costs. In addition, a growth in popularity of EVs without a significant expansion in battery cell production capacity could result in shortages which would result in increased materials costs to us or impact our prospects. Substantial increases in the prices for our raw materials or components would increase our operating costs, and could reduce our margins if we cannot recoup the increased costs through increased vehicle prices. Any attempts to increase product prices in response to increased material costs could result in a decrease in sales and therefore materially and adversely affect our brand, image, business, prospects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delays in the manufacturing and launch of the commercial production vehicles in our pipeline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started the production of our first mass-produced Smart EV, the G3, in November 2018 and our second mass-produced Smart EV, the P7, in May 2020. Since then we have successively launched and delivered a number of vehicle models and their variants, and as of the date of this annual report, our product offering included the MONA M03, the Next P7, the P7+ (including the P7+ EREV), the G6 (including the G6 EREV), the G7 (including the G7 EREV), the G9, the X9 (including the X9 EREV). We plan to continuously introduce new models and facelifts to enrich our product portfolio and offer customers more selections. Delays in the launch of new models and new versions may occur for a variety of reasons, such as changes in market conditions, technological challenges, lack of necessary funding, as well as disruptions in our supply chain or manufacturing facilities. To the extent we need to delay the launch of our Smart EVs and NEVs, our growth prospects could be adversely affected as we may fail to grow our market share. We also plan to periodically perform facelifts or refresh existing models, which could also be subject to delays.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rely on third-party suppliers for the provision and development of many of the key components used in our Smart EVs and NEVs. In addition, as part of our international expansion, we strategically collaborate with third-party manufacturing partners in certain overseas markets to support localized production. These arrangements may require additional coordination and may reduce our direct control over manufacturing processes, including our ability to manage product quality, product costs, production capacity and delivery timing. To the extent our suppliers or manufacturing partners experience any delays in providing us with or developing necessary components or products, or experience capacity constraints, quality issues or other disruptions, we could experience delays in production or deliveries, increased costs, or additional warranty or remedial expenses. Any delay in the manufacture of our existing Smart EV and NEV models or the manufacture and launch of our future models, including in the ramp up of our Zhaoqing plant and Guangzhou plant, under our overseas manufacturing arrangements, or due to any other factors, or in performing facelifts to existing models, could lead to customer dissatisfaction and materially and adversely affect our reputation, demand for our Smart EVs and NEVs, results of operations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choose to or be compelled to undertake product recalls or take other similar actions, which could adversely affect our brand image,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If our Smart EVs and NEVs are subject to recalls in the future, we may be subject to adverse publicity, damage to our brand and liability for costs. Effective on January 30, 2021, we voluntarily recalled certain of the G3s that were produced in the period between March 29, 2019 and September 27, 2020, which totaled 13,399 units. Due to a possible power supply fault of the inverters installed on these G3s, the vehicles may not start when parked or lose power when driven. In connection with the recall, we undertake to replace the inverters of these G3s free of charge. As the relevant components’ supplier is responsible for the costs of replacing inverters, our costs and expenses for the recall of the G3s were minimal. In addition, effective on September 15, 2025, we voluntarily recalled certain of the P7+s that were produced in the period between August 20, 2024 and April 27, 2025, which totaled 47,490 units. The recall of the P7+ in 2025 was primarily due to the intermittent contact in the power steering motor sensor wiring harness, which may cause malfunctions in steering sensor. In connection with such recall, we undertook to replace the steering gear assemblies of these P7+ free of charge. As the relevant components’ supplier is responsible for the costs of replacing steering gear, our costs and expenses for the recall of the P7+s were minimal. As of the date of this annual report, we have not received any material product liability claims in relation to these recalled G3s or P7+s.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at various times, voluntarily or involuntarily, initiate a recall if any of our Smart EVs and NEVs,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provide quality customer services, our business and reputation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aim to provide customers with a good customer service experience, including providing our customers with access to a comprehensive suite of charging solutions, after-sales services and value-added services, as well as software sale. Our services may fail to meet our customers’ expectations, which could adversely affect our business, reputation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Offline after-sale services are primarily carried out by franchised service stores. We and our franchisees have limited experience in servicing our Smart EVs and NEVs. Servicing EV is different from servicing ICE vehicles and requires specialized skills, including high voltage training and servicing techniques. There can be no assurance that our after-sale service arrangements will adequately address the service requirements of our customers to their satisfaction, or that we and our franchisees will have sufficient resources to meet these service requirements in a timely manner as the volume of Smart EVs and NEVs we deliver increases. Moreover, we provide value-added services, including insurance technology support, automotive loan referral and auto financing, and we may expand our value-added services in the future. However, we cannot assure you that we will be able to successfully monetize our value-added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seek to engage with our customers on an ongoing basis using online and offline channels. If we are unable to roll out and establish a broad service network covering both online and offline channels, customer experience could be adversely affected, which in turn could materially and adversely affect our sales,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challenges in providing charging solutions. </w:t>
      </w:r>
    </w:p>
    <w:p>
      <w:pPr>
        <w:pStyle w:val="TextBody"/>
        <w:bidi w:val="0"/>
        <w:spacing w:before="120" w:after="0"/>
        <w:jc w:val="left"/>
        <w:rPr>
          <w:rFonts w:ascii="Times New Roman" w:hAnsi="Times New Roman"/>
          <w:sz w:val="20"/>
        </w:rPr>
      </w:pPr>
      <w:r>
        <w:rPr>
          <w:rFonts w:ascii="Times New Roman" w:hAnsi="Times New Roman"/>
          <w:sz w:val="20"/>
        </w:rPr>
        <w:t xml:space="preserve">We have marketed our ability to provide our customers a convenient charging experience. We offer installation of home chargers for our customers. Customers may also charge through XPENG self-operated charging station network or at third-party charging stations. We plan to expand our charging network primarily by partnering with third parties. There can be no assurance that our partners will continue to expand their charging facilities, or that such partners will continue their cooperation on terms acceptable to us, or at all. As a result, we may need to invest significant capital to establish and operate more XPENG self-operated charging stations and/or engage additional franchisees to operate such stations. In addition, the installation of home chargers is handled by third-party service providers, and their service may not meet our customers’ expectations. To the extent we or the relevant third parties are unable to meet customer expectations or experience difficulties in providing charging solutions, our reputation and business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range of our Smart EVs and NEVs on a single charge declines over time which may negatively influence potential customers’ decisions whether to purchase our Smart EVs and NEVs. </w:t>
      </w:r>
    </w:p>
    <w:p>
      <w:pPr>
        <w:pStyle w:val="TextBody"/>
        <w:bidi w:val="0"/>
        <w:spacing w:before="120" w:after="0"/>
        <w:jc w:val="left"/>
        <w:rPr>
          <w:rFonts w:ascii="Times New Roman" w:hAnsi="Times New Roman"/>
          <w:sz w:val="20"/>
        </w:rPr>
      </w:pPr>
      <w:r>
        <w:rPr>
          <w:rFonts w:ascii="Times New Roman" w:hAnsi="Times New Roman"/>
          <w:sz w:val="20"/>
        </w:rPr>
        <w:t xml:space="preserve">The range of our Smart EVs and NEVs on a single charge declines principally as a function of usage, time and charging patterns as well as other factors. For example, a customer’s use of his or her Smart EV or NEV as well as the frequency with which the battery is charged can result in additional deterioration of the battery’s ability to hold a charge. Battery deterioration and the related decrease in range may negatively influence potential customer decisions whether to purchase our Smart EVs and NEVs, which may adversely affect our ability to market and sell our Smart EVs and NEVs. There can be no assurance that we will be able to continue to improve cycle performance of our battery packs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industry is rapidly evolving and may be subject to unforeseen changes. Developments in alternative technologies or improvements in the ICE may materially and adversely affect the demand for our Smart EVs and NEVs. </w:t>
      </w:r>
    </w:p>
    <w:p>
      <w:pPr>
        <w:pStyle w:val="TextBody"/>
        <w:bidi w:val="0"/>
        <w:spacing w:before="120" w:after="0"/>
        <w:jc w:val="left"/>
        <w:rPr>
          <w:rFonts w:ascii="Times New Roman" w:hAnsi="Times New Roman"/>
          <w:sz w:val="20"/>
        </w:rPr>
      </w:pPr>
      <w:r>
        <w:rPr>
          <w:rFonts w:ascii="Times New Roman" w:hAnsi="Times New Roman"/>
          <w:sz w:val="20"/>
        </w:rPr>
        <w:t xml:space="preserve">We primarily operate in China’s EV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products and services. These changes may not achieve expected results, which could have a material adverse effect on our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In addition, a sustained depression of petroleum price could make the ownership of ICE vehicles more attractive to consumers. Any failure by us to successfully react to changes in alternative technologies and market conditions could materially harm our competitive position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is dependent upon consumers’ willingness to adopt EVs and specifically our Smart EVs and NEVs. </w:t>
      </w:r>
    </w:p>
    <w:p>
      <w:pPr>
        <w:pStyle w:val="TextBody"/>
        <w:bidi w:val="0"/>
        <w:spacing w:before="120" w:after="0"/>
        <w:jc w:val="left"/>
        <w:rPr>
          <w:rFonts w:ascii="Times New Roman" w:hAnsi="Times New Roman"/>
          <w:sz w:val="20"/>
        </w:rPr>
      </w:pPr>
      <w:r>
        <w:rPr>
          <w:rFonts w:ascii="Times New Roman" w:hAnsi="Times New Roman"/>
          <w:sz w:val="20"/>
        </w:rPr>
        <w:t xml:space="preserve">The demand for our Smart EVs and NEVs and services will highly depend upon the adoption by consumers of NEVs in general and EVs in particular. The market for NEVs is still rapidly evolving, characterized by rapidly changing technologies, prices and the competitive landscape, evolving government regulation and industry standards and changing consumer demands and behaviors. </w:t>
      </w:r>
    </w:p>
    <w:p>
      <w:pPr>
        <w:pStyle w:val="TextBody"/>
        <w:bidi w:val="0"/>
        <w:spacing w:before="240" w:after="0"/>
        <w:jc w:val="left"/>
        <w:rPr>
          <w:rFonts w:ascii="Times New Roman" w:hAnsi="Times New Roman"/>
          <w:sz w:val="20"/>
        </w:rPr>
      </w:pPr>
      <w:r>
        <w:rPr>
          <w:rFonts w:ascii="Times New Roman" w:hAnsi="Times New Roman"/>
          <w:sz w:val="20"/>
        </w:rPr>
        <w:t xml:space="preserve">Other factors that may influence the adoption of NEVs, and specifically EVs,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perceptions about EV quality, safety, design, performance and cost, especially if adverse events or accidents occur that are linked to the quality or safety of EVs, whether or not such vehicles are produced by us or other OEMs;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perceptions about vehicle safety in general, in particular safety issues that may be attributed to the use of advanced technologies, such as ADAS and lithium battery cells;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range over which EVs may be driven on a single battery charge and the speed at which batteries can be charged;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decline of an EV’s range resulting from deterioration over time in the battery’s ability to hold a charge;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other types of NEVs, including plug-in hybrid electric vehicles;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improvements in the fuel economy of the internal combustion engine;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after-sales service for EVs;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environmental consciousness of consumers;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access to charging stations, standardization of EV charging systems and consumers’ perceptions about convenience and cost for charging an EV;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tax and other governmental incentives to purchase and operate EVs or future regulation requiring increased use of nonpolluting vehicles;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perceptions about and the actual cost of alternative fuel; and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factors described above may cause current or potential customers not to purchase our Smart EVs and NEVs and use our services. If the market for EVs does not develop as we expect or develops more slowly than we expect, our business, prospects, financial condition and operating results will be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effectively manage the risks related to our auto financing program,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cooperate with banks and connect them with customers who seek automotive financing solutions. We believe the availability of financing options is important to our customers. If affordable automotive financing solutions are not available for our customers, we may not be able to grow our sales. To complement the banks’ services, we also offer auto financing to our customers through a wholly-owned subsidiary. Such auto financing program is treated as an installment payment program for accounting purposes and the Group records the relevant installment payment receivables on its balance sheets. As we continue to grow our business, we may increase the amount of auto financing we offer. We may not be able to obtain adequate funding for our auto financing program. We may also fail to effectively manage the credit risks related to our auto financing program, which would materially and adversely affect our business, results of operations and financial condition. In addition, if we do not successfully monitor and comply with applicable national and/or local financial regulations and consumer protection laws governing auto financing transactions, we may become subject to enforcement actions or penalties, which would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cyber-attacks, unauthorized access or control of the systems for our Smart EVs and NEVs could result in loss of confidence in us and our Smart EVs and NEVs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Smart EVs and NEVs contain complex information technology systems to support smart technology functions and to accept and install periodic OTA firmware updates. We have designed, implemented and tested security measures intended to prevent unauthorized access to our information technology networks and the technology systems for our Smart EVs and NEVs. However, hackers may attempt to gain unauthorized access to modify, alter and use such networks and systems. We encourage reporting of potential vulnerabilities in the security of our Smart EVs and NEVs, and we aim to remedy any reported and verified vulnerability. However, there can be no assurance that vulnerabilities will not be exploited in the future before they can be identified, or that our remediation efforts are or will be successful. Any cyber-attacks, unauthorized access, disruption, damage or control of our information technology networks or the systems for our Smart EVs and NEVs or any loss or leakage of data or information stored in our systems could result in legal claims or proceedings. In addition, regardless of their veracity, reports of cyber-attacks to our information technology networks or the systems or data of our Smart EVs and NEVs, as well as other factors that may result in the perception that our information technology networks or our Smart EVs’ or NEVs’ systems or data are vulnerable to “hacking,” could negatively affect our brand and harm our business, prospects, financial condition and results of 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Interruption or failure of our information technology and communications systems could impact our ability to effectively provide our services. </w:t>
      </w:r>
    </w:p>
    <w:p>
      <w:pPr>
        <w:pStyle w:val="TextBody"/>
        <w:bidi w:val="0"/>
        <w:spacing w:before="120" w:after="0"/>
        <w:jc w:val="left"/>
        <w:rPr>
          <w:rFonts w:ascii="Times New Roman" w:hAnsi="Times New Roman"/>
          <w:sz w:val="20"/>
        </w:rPr>
      </w:pPr>
      <w:r>
        <w:rPr>
          <w:rFonts w:ascii="Times New Roman" w:hAnsi="Times New Roman"/>
          <w:sz w:val="20"/>
        </w:rPr>
        <w:t xml:space="preserve">We enable our customers to access a variety of features and services through our mobile Apps. In addition, certain features of our Smart EVs and NEVs depend to a certain extent on connectivity to our information technology systems. As such, the availability and effectiveness of our services depend on the continued operation of our information technology and communications systems. Our systems are vulnerable to damage or interruption from, among others, fire, terrorist attacks, natural disasters, power loss, telecommunications failures, computer viruses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and anti-bribery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anti-bribery and similar laws and regulations in various jurisdictions in which we conduct activities. We have direct or indirect interactions with officials and employees of government agencies and state-owned affiliated entities in the ordinary course of business. These interactions subject us to an increased level of compliance-related concerns. We have implemented policies and procedures designed to ensure compliance by us and our directors, officers, employees, representatives, consultants, agents and business partners with applicable anti-corruption and anti-bribery and similar laws and regulations. However, our policies and procedures may not be sufficient, and our directors, officers, employees, representatives, consultants, agents, and business partners could engage in improper conduct for which we may be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anti-corruption or anti-bribery laws and regulations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substantially on the continuing efforts of our executive officers, key employees and qualified personnel, and the Group’s operations may be severely disrupted if we lose their services.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in particular with respect to qualified talents in the areas of Smart EVs and NEVs and ADAS technologies, and therefore we cannot assure you that we will be able to attract or retain qualified staff or other highly skilled employees. In addition, because our Smart EVs and NEVs are based on a different technology platform than traditional ICE vehicles, individuals with sufficient training in Smart EVs and NEVs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Misconduct by our employees during and before their employment with us could expose us to potentially significant legal liabilities, reputational harm and/or other damages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Many of our employees play critical roles in ensuring the safety and reliability of our products and services and/or our compliance with relevant laws and regulations in the areas including, but not limited to, trade secrets, privacy, data protection, anti-corruption and anti-money laundering.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client information or proprietary information, we and such employees could be subject to legal claims and liabilities and our reputation and business could be adversely affected as a result. </w:t>
      </w:r>
    </w:p>
    <w:p>
      <w:pPr>
        <w:pStyle w:val="TextBody"/>
        <w:bidi w:val="0"/>
        <w:spacing w:before="240" w:after="0"/>
        <w:jc w:val="left"/>
        <w:rPr>
          <w:rFonts w:ascii="Times New Roman" w:hAnsi="Times New Roman"/>
          <w:sz w:val="20"/>
        </w:rPr>
      </w:pPr>
      <w:r>
        <w:rPr>
          <w:rFonts w:ascii="Times New Roman" w:hAnsi="Times New Roman"/>
          <w:sz w:val="20"/>
        </w:rPr>
        <w:t xml:space="preserve">Sales staff at our stores, including both our employees and franchisees’ employees, may fail to strictly adhere to our pricing and sales policies. Such non-compliance of internal policies may result in confusion and dissatisfaction among our customers. As a result, we have been subject to, and may continue to be subject to, customer complaints, negative publicity and government investigation. Any adverse finding in government investigation may lead to fines, forfeitures of government subsidies or other penalties, which could have a material and adverse impact on our reputation, business and results of operation. </w:t>
      </w:r>
    </w:p>
    <w:p>
      <w:pPr>
        <w:pStyle w:val="TextBody"/>
        <w:bidi w:val="0"/>
        <w:spacing w:before="240" w:after="0"/>
        <w:jc w:val="left"/>
        <w:rPr>
          <w:rFonts w:ascii="Times New Roman" w:hAnsi="Times New Roman"/>
          <w:sz w:val="20"/>
        </w:rPr>
      </w:pPr>
      <w:r>
        <w:rPr>
          <w:rFonts w:ascii="Times New Roman" w:hAnsi="Times New Roman"/>
          <w:sz w:val="20"/>
        </w:rPr>
        <w:t xml:space="preserve">Illegal, fraudulent, corrupt or collusive activities or misconduct, whether actual or perceived, by our employees, representatives, agents, business partners or service providers could subject us to liability or negative publicity, which could severely damage our brand and reputation. 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For example, one former employee of ours was arrested and then charged in July 2018 with stealing trade secrets from his previous employer, Apple. Although the alleged theft occurred before he was employed by us, we were subpoenaed by the grand jury to produce certain documents. On August 22, 2022, the former employee pleaded guilty to the charge of theft of trade secrets and entered into a plea agreement. Although we are unaffected by the former employee’s final sentencing, any future occurrences of similar incidents may divert our management’s attention and resources, adversely affect our operations and business, cause reputational harm to the Company and expose us to significant legal liabilities. </w:t>
      </w:r>
    </w:p>
    <w:p>
      <w:pPr>
        <w:pStyle w:val="TextBody"/>
        <w:bidi w:val="0"/>
        <w:spacing w:before="240" w:after="0"/>
        <w:jc w:val="left"/>
        <w:rPr>
          <w:rFonts w:ascii="Times New Roman" w:hAnsi="Times New Roman"/>
          <w:sz w:val="20"/>
        </w:rPr>
      </w:pPr>
      <w:r>
        <w:rPr>
          <w:rFonts w:ascii="Times New Roman" w:hAnsi="Times New Roman"/>
          <w:sz w:val="20"/>
        </w:rPr>
        <w:t xml:space="preserve">Another former employee of ours was sued by Tesla in March 2019 for misappropriation of trade secrets while he was employed by Tesla. We cooperated with Tesla and provided various documents and information relating to the employee to Tesla upon their request. After over two years of litigation and extensive discovery effort, a joint stipulation of dismissal with prejudice was filed by this former employee and Tesla on April 15, 2021, and it is disclosed that the parties entered into a confidential settlement agreement to resolve all claims asserted in the action. </w:t>
      </w:r>
    </w:p>
    <w:p>
      <w:pPr>
        <w:pStyle w:val="TextBody"/>
        <w:bidi w:val="0"/>
        <w:spacing w:before="240" w:after="0"/>
        <w:jc w:val="left"/>
        <w:rPr>
          <w:rFonts w:ascii="Times New Roman" w:hAnsi="Times New Roman"/>
          <w:sz w:val="20"/>
        </w:rPr>
      </w:pPr>
      <w:r>
        <w:rPr>
          <w:rFonts w:ascii="Times New Roman" w:hAnsi="Times New Roman"/>
          <w:sz w:val="20"/>
        </w:rPr>
        <w:t xml:space="preserve">While we have put in place various safeguards to address the risk of unauthorized third-party information being introduced into our systems or used in our operations, and based on internal investigation, we are confident that neither of these two former employees introduced or used any external confidential information in our systems or business operations, we had to spend significant time and efforts to handle these matters and answer related inquiries. Moreover, we could be involved in other proceedings, or be forced to defend against allegations that may arise in the future, even when such allegations are not justified. Any negative publicity surrounding these cases, especially in the event that any of such employees or former employees is found to have committed any wrongdoing, could negatively affect our reputation and may have an adverse impact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become subject to product liability claims, which could harm our financial condition and liquidity if we are not able to successfully defend against such claims. </w:t>
      </w:r>
    </w:p>
    <w:p>
      <w:pPr>
        <w:pStyle w:val="TextBody"/>
        <w:bidi w:val="0"/>
        <w:spacing w:before="120" w:after="0"/>
        <w:jc w:val="left"/>
        <w:rPr>
          <w:rFonts w:ascii="Times New Roman" w:hAnsi="Times New Roman"/>
          <w:sz w:val="20"/>
        </w:rPr>
      </w:pPr>
      <w:r>
        <w:rPr>
          <w:rFonts w:ascii="Times New Roman" w:hAnsi="Times New Roman"/>
          <w:sz w:val="20"/>
        </w:rPr>
        <w:t xml:space="preserve">If we become liable for product liability claims, our business, operating results and financial condition may be harmed. The automotive industry experiences significant product liability claims, and we face inherent risk of exposure to claims in the event our Smart EVs and NEVs do not meet applicable standards or requirements, resulting in property damage, personal injury or death. Our risks in this area are particularly pronounced given we have limited experience of offering Smart EVs and NEVs. Although we implement full-cycle quality control, covering design, procurement, production, sales and after-sales services, we cannot assure you that our quality control measures will be as effective as we expect. Any failure in any of our quality control steps would cause a defect in our Smart EVs and NEVs, and in turn, could harm our customers. A successful product liability claim against us could require us to pay a substantial monetary award. Moreover, a product liability claim could generate substantial negative publicity about our Smart EVs and NEVs and business and inhibit or prevent commercialization of our future Smart EVs and NEVs, which would have a material adverse effect on our brand,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China, vehicles must meet or exceed all mandated safety standards. Rigorous testing and the use of approved materials and equipment are among the requirements for achieving such standards. Vehicles must pass various tests and undergo a certification process and be affixed with China Compulsory Certification, or CCC, before receiving delivery from the factory, being sold, or being used in any commercial activity, and such certification is also subject to periodic renewal. Although our Smart EV and NEV models currently for sale have received CCC certifications, we cannot assure you that each of our future Smart EV and NEV models will be able to receive such certifications. Furthermore, the government carries out the supervision and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or used in any commercial activity. Failure of any of our Smart EV and NEV models to satisfy motor vehicle standards would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Smart EVs and NEVs make use of lithium cells, and lithium cells may catch fire or vent smoke and flame on rare occasions. </w:t>
      </w:r>
    </w:p>
    <w:p>
      <w:pPr>
        <w:pStyle w:val="TextBody"/>
        <w:bidi w:val="0"/>
        <w:spacing w:before="120" w:after="0"/>
        <w:jc w:val="left"/>
        <w:rPr>
          <w:rFonts w:ascii="Times New Roman" w:hAnsi="Times New Roman"/>
          <w:sz w:val="20"/>
        </w:rPr>
      </w:pPr>
      <w:r>
        <w:rPr>
          <w:rFonts w:ascii="Times New Roman" w:hAnsi="Times New Roman"/>
          <w:sz w:val="20"/>
        </w:rPr>
        <w:t xml:space="preserve">Our Smart EVs’ and NEVs’ battery packs make use of lithium cells. On rare occasions, lithium cells can rapidly release the energy they contain by venting smoke and flames in a manner that can ignite nearby materials as well as other lithium cells. While our batteries are built with robust safety features and strong thermal management capabilities, there can be no assurance that our batteries will always function safely. If any safety accident occurs to any of our Smart EVs’ and NEVs’ battery pack, we could be subject to lawsuits, product recalls or redesign efforts, all of which would be time-consuming and expensive. Also, negative public perceptions regarding the suitability of lithium cells for automotive applications or any future incident involving lithium cells, such as a vehicle fire, even if such incident does not involve our Smart EVs and NEVs, could seriously harm customers’ confidence in our Smart EVs and NEVs.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may store high volumes of lithium cells and battery modules and packs at our facilities. Any mishandling of battery cells may cause disruption to the operation of such facilities. While we have implemented safety procedures related to the handling of the cells, there can be no assurance that a safety issue or fire related to the cells would not disrupt our operations. Any such disruptions or issues may harm our brand and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Smart EV and NEV owners customize our Smart EVs and NEVs or change the charging infrastructure with aftermarket products, the Smart EV and NEV may not operate properly. </w:t>
      </w:r>
    </w:p>
    <w:p>
      <w:pPr>
        <w:pStyle w:val="TextBody"/>
        <w:bidi w:val="0"/>
        <w:spacing w:before="120" w:after="0"/>
        <w:jc w:val="left"/>
        <w:rPr>
          <w:rFonts w:ascii="Times New Roman" w:hAnsi="Times New Roman"/>
          <w:sz w:val="20"/>
        </w:rPr>
      </w:pPr>
      <w:r>
        <w:rPr>
          <w:rFonts w:ascii="Times New Roman" w:hAnsi="Times New Roman"/>
          <w:sz w:val="20"/>
        </w:rPr>
        <w:t xml:space="preserve">Automobile enthusiasts may seek to “hack” our Smart EVs and NEVs to modify their performance which could compromise vehicle safety systems. Also, customers may customize our Smart EVs and NEVs with after-market parts that can compromise driver safety. We do not test, nor do we endorse, such changes. In addition, the use of improper external cabling or unsafe charging outlets can expose our customers to injury from high voltage electricity. Such unauthorized modifications could reduce the safety of our Smart EVs and NEVs and any injuries resulting from such modifications could result in adverse publicity, which would negatively affect our brand and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defend ourselves against claims for intellectual property infringement, which may be time-consuming and would cause us to incur substantial costs. </w:t>
      </w:r>
    </w:p>
    <w:p>
      <w:pPr>
        <w:pStyle w:val="TextBody"/>
        <w:bidi w:val="0"/>
        <w:spacing w:before="120" w:after="0"/>
        <w:jc w:val="left"/>
        <w:rPr>
          <w:rFonts w:ascii="Times New Roman" w:hAnsi="Times New Roman"/>
          <w:sz w:val="20"/>
        </w:rPr>
      </w:pPr>
      <w:r>
        <w:rPr>
          <w:rFonts w:ascii="Times New Roman" w:hAnsi="Times New Roman"/>
          <w:sz w:val="20"/>
        </w:rPr>
        <w:t xml:space="preserve">Companies, organizations or individuals, including our competitors, may hold or obtain patents, trademarks or other proprietary rights that would prevent, limit or interfere with our ability to make, use, develop, sell or market our Smart EVs and NEVs, which could make it more difficult for us to operate our business. From time to time, we may receive communications from holders of patents, copyrights or trademarks regarding their proprietary rights. Companies holding patents, copyrights, trademarks or other intellectual property rights may bring suits alleging infringement of such rights by us or our employees or otherwise assert their rights and urge us to take licenses. Any such intellectual property infringement claim could result in costly litigation and divert our management’s attention and resources. </w:t>
      </w:r>
    </w:p>
    <w:p>
      <w:pPr>
        <w:pStyle w:val="TextBody"/>
        <w:bidi w:val="0"/>
        <w:spacing w:before="240" w:after="0"/>
        <w:jc w:val="left"/>
        <w:rPr>
          <w:rFonts w:ascii="Times New Roman" w:hAnsi="Times New Roman"/>
          <w:sz w:val="20"/>
        </w:rPr>
      </w:pPr>
      <w:r>
        <w:rPr>
          <w:rFonts w:ascii="Times New Roman" w:hAnsi="Times New Roman"/>
          <w:sz w:val="20"/>
        </w:rPr>
        <w:t xml:space="preserve">If we or our employees are determined to have infringed upon a third party’s intellectual property rights, we may be required to do one or more of the following: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cease offering Smart EVs and NEVs or services that incorporate or use the challenged intellectual property;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substantial damages;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a license from the holder of the infringed intellectual property right, which license may not be available on reasonable terms or at all;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 our Smart EVs and NEVs or relevant services which would incur significant cost; or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alternative branding for our Smart EVs and NEVs and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 successful claim of infringement against us and our failure or inability to obtain a license to the infringed technology or other intellectual property right, our business, prospects, financial condition and results of operation could be materially and adversely affected. In addition, any litigation or claims, whether or not valid, could result in substantial costs, negative publicity and diversion of resources and management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prevent others from unauthorized use of our intellectual property, which could harm our business and competitive position. </w:t>
      </w:r>
    </w:p>
    <w:p>
      <w:pPr>
        <w:pStyle w:val="TextBody"/>
        <w:bidi w:val="0"/>
        <w:spacing w:before="120" w:after="0"/>
        <w:jc w:val="left"/>
        <w:rPr>
          <w:rFonts w:ascii="Times New Roman" w:hAnsi="Times New Roman"/>
          <w:sz w:val="20"/>
        </w:rPr>
      </w:pPr>
      <w:r>
        <w:rPr>
          <w:rFonts w:ascii="Times New Roman" w:hAnsi="Times New Roman"/>
          <w:sz w:val="20"/>
        </w:rPr>
        <w:t xml:space="preserve">We rely on a combination of patents, trademarks, copyrights, trade secrets and confidentiality agreements to protect our proprietary rights. We rely on trademark and patent law, trade secret protection and confidentiality and license agreements with our employees and others to protect our intellectual property rights. In addition, any unauthorized use of our intellectual property by third parties may adversely affect our current and future revenues and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application for the registration with competent government authorities of trademarks and other intellectual property rights related to our current or future business will be approved, or our intellectual property rights will not be challenged by third parties or found by the relevant governmental or judicial authority to be invalid or unenforceable. From time to time, we may encounter difficulties registering our trademarks or other intellectual properties or have disputes with third parties regarding our trademarks or other intellectual properties. If the relevant trademarks or other intellectual properties could not be registered, we may fail to prevent others from using such intellectual properties, and our business, financial condition and results of operations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protection may not be sufficient in the jurisdictions in which we operate. Furthermore, policing unauthorized use of proprietary technology is difficult and expensive.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our patents may expire and may not be extended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use of certain premises may be disrupted if the land-use-purpose statutory provisions are strictly enforced by competent government authorities. </w:t>
      </w:r>
    </w:p>
    <w:p>
      <w:pPr>
        <w:pStyle w:val="TextBody"/>
        <w:bidi w:val="0"/>
        <w:spacing w:before="120" w:after="0"/>
        <w:jc w:val="left"/>
        <w:rPr>
          <w:rFonts w:ascii="Times New Roman" w:hAnsi="Times New Roman"/>
          <w:sz w:val="20"/>
        </w:rPr>
      </w:pPr>
      <w:r>
        <w:rPr>
          <w:rFonts w:ascii="Times New Roman" w:hAnsi="Times New Roman"/>
          <w:sz w:val="20"/>
        </w:rPr>
        <w:t xml:space="preserve">We lease a number of properties for our stores, service centers, offices and self-operated charging stations across China. Certain leased properties are not used in accordance with the designated purposes of such properties. For example, some stores or offices are currently located on lands designated for industrial usage instead of commercial usage. Under the PRC legal regime regarding the land use right, land shall be used strictly in line with the approved usage of the land. Any change as contemplated to the usages of land shall go through relevant land alteration registration procedures. If any state-owned land is illegally used beyond the approved usage, the land administrative departments of the PRC governments at and above the county level may retrieve the land and impose a fine. As such, our usage of such leased properties may subject the landlords to retrieval of land or removal of the buildings by the PRC government authorities and therefore we may need to move our stores, offices or charging stations somewhere else and additional relocation costs will be incurred.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leased properties had been mortgaged by the landlords to third parties before entering into lease agreements with us, and certain lessors of our leased properties failed to provide the building ownership certificates or other evidence demonstrating their rights to lease such properties. If the mortgagees of the leased properties exercise their mortgage right or the lessors do not actually have the rights to lease the relevant properties to us, we will not be able to continue our leases on the said properties and therefore we may need to relocate the relevant functions somewhere else and additional relocation costs will be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coverage strategy may not be adequate to protect us from all business risks. </w:t>
      </w:r>
    </w:p>
    <w:p>
      <w:pPr>
        <w:pStyle w:val="TextBody"/>
        <w:bidi w:val="0"/>
        <w:spacing w:before="120" w:after="0"/>
        <w:jc w:val="left"/>
        <w:rPr>
          <w:rFonts w:ascii="Times New Roman" w:hAnsi="Times New Roman"/>
          <w:sz w:val="20"/>
        </w:rPr>
      </w:pPr>
      <w:r>
        <w:rPr>
          <w:rFonts w:ascii="Times New Roman" w:hAnsi="Times New Roman"/>
          <w:sz w:val="20"/>
        </w:rPr>
        <w:t xml:space="preserve">We have limited liability insurance coverage for our products and business operations. A successful liability claim against us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operating subsidiaries may be required to obtain additional licenses or permits or make additional filings or registrations.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operate our business, we need to obtain a series of licenses, permits and approvals, make filings or complete registrations according to relevant PRC laws and regulations. However, given that the PRC authorities may have certain discretion in interpreting, implementing and enforcing relevant rules and regulations, as well as other factors beyond our control, we cannot guarantee you that we have obtained or will be able to obtain and maintain all requisite licenses, permits, filings and registrations.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PRC governments impose sanctions for engaging in value-added telecommunication services, or the VATS, without having obtained the VATS licenses for relevant categories. These sanctions include corrective orders and warnings from the PRC communication administration authority, fines and confiscation of illegal gains and, in the case of significant infringements, the websites and mobile Apps may be ordered to cease operation. We have obtained two VATS licenses for Internet content provider, each held by Zhipeng IoV and Yidian Smart Mobility, which are two of the Group VIEs, respectively. Given that the interpretation of such regulations and PRC regulatory authorities’ enforcement of such regulations in the context of VATS industry are evolving, it is unclear whether we are required to obtain other VATS licenses. In addition, we have applied for and received several surveying and mapping qualifications with respect to our business and will continue upgrading such qualifications. Furthermore, we also obtained an insurance agency business permit to conduct an insurance agency business, which is subject to regulation and inspection by the insurance regulatory authorities from time to time. Such insurance agency business permit is held by GIIA, which is also one of the Group VIEs. If we are not able to comply with all applicable legal requirements or obtain or renew necessary licenses and permits in a timely manner, we may be subject to fines, confiscation of the gains derived from our non-compliant operations or suspension of our non-compliant operations, any of which may materially and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operating subsidiaries that are providing repair and maintenance services have not made the automobile maintenance and management filing with competent government authorities. We may be ordered by the competent government authorities to rectify such non-compliance and failure to rectify such non-compliance may result in fines.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be required to obtain a License for Online Transmission of Audio and Visual Programs, as we allow users of our XPENG mobile App to upload and share audio and video content on the mobile App from time to time. If the government authorities determine that the audio and video uploading feature on our XPENG mobile App should be subject to this license requirement, we may be required to obtain necessary license and may even be subject to penalties, fines, legal sanctions and/or an order to remove such feature. As of the date of this annual report, we have not received any notice of warning or been subject to penalties or other disciplinary action from the relevant government authorities regarding the lack of a License for Online Transmission of Audio and Visual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from time to time be subject to claims, disputes, lawsuits and other legal and administrative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not party to any material legal or administrative proceedings. However, in light of the nature of our business, we and our management are susceptible to potential claims or disputes. We and certain of our management have been, and may from time to time in the future be, subject to or involved in various claims, disputes, lawsuits and other legal and administrative proceedings. Lawsuits and litigations may cause us to incur defense costs, utilize a significant portion of our resources and divert management’s attention from our day-to-day operations, any of which could harm our business. Claims arising out of actual or alleged violations of law, breach of contract or torts could be asserted against us by customers, business partners, suppliers, competitors, employees or governmental entities in investigations and legal proceedings. In particular, according to the PRC Social Insurance Law and the Administrative Measures on Housing Fund, employers are required, together with their employees or separately, to pay the social insurance premiums and housing funds for their employees. Employers that fail to make adequate social insurance and housing fund contributions may be subject to fines and legal sanctions. If the relevant PRC authorities determine that we shall make supplemental contributions, that we are not in compliance with labor laws and regulations, or that we are subject to fines or other legal sanctions, such as order of timely rectification, and our business, financial condition and results of operation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various environmental and safety laws and regulations that could impose substantial costs upon us and cause delays in building our manufacturing facilities.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multiple environmental and safety laws and regulations related to the manufacture of our Smart EVs and NEVs, including the use of hazardous materials in the manufacturing process and the operation of our manufacturing plant. Such laws and regulations govern the use, storage, discharge and disposal of hazardous materials during the manufacturing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from time to time, the government of the PRC issues new regulations, which may require additional actions on our part to comply. If our Zhaoqing plant and Guangzhou plant or any of our other future constructions fails to comply with applicable regulations, we could be subject to substantial liability for clean-up efforts, personal injury or fines or be forced to close or temporarily cease the operations of the Zhaoqing plant and Guangzhou plant or other relevant constructions, any of which could have a material adverse effect on our business, prospects, financial condition and results of operation. Moreover, if we intend to increase our capacity in the future by establishing new manufacturing bases, we will be required to obtain certain environmental, construction and safety approvals and complete certain examination and acceptance procedures for these facilities. We may not be able to obtain such approvals or complete such procedures in a timely manner or at all. If for any reason the relevant government authorities determine that we are not in compliance with environmental and construction laws and regulations, we may be required to pay fines, suspend or cease our operations in the relevant premises. </w:t>
      </w:r>
    </w:p>
    <w:p>
      <w:pPr>
        <w:pStyle w:val="TextBody"/>
        <w:bidi w:val="0"/>
        <w:spacing w:before="240" w:after="0"/>
        <w:jc w:val="left"/>
        <w:rPr>
          <w:rFonts w:ascii="Times New Roman" w:hAnsi="Times New Roman"/>
          <w:sz w:val="20"/>
        </w:rPr>
      </w:pPr>
      <w:r>
        <w:rPr>
          <w:rFonts w:ascii="Times New Roman" w:hAnsi="Times New Roman"/>
          <w:sz w:val="20"/>
        </w:rPr>
        <w:t xml:space="preserve">Moreover, environmental and social laws and regulations, including climate regulations, are also increasing with a variety of stakeholders, including regulators seeking more information and disclosure on related risks and impacts. For example, we may be subject to the requirements of the EU Corporate Sustainability Reporting Directive (and its implementing laws and regulations) and other EU directives or EU and EU member state regulations. In addition, with the expansion of our product portfolio that includes the launch of EREV, we may be further subject to additional and more complex emissions-related laws, regulations, certifications and inspections in the PRC and overseas, including vehicle testing and certification requirements that do not apply to zero-emission models. Compliance with these laws and regulations may require us to incur significant additional costs, including the implementation of significant additional internal controls processes and procedures regarding matters that have not been subject to such controls in the past, and impose increased oversight obligations on our management and board of directors, as well as require us to hire third party experts. These requirements are evolving and may not always be uniform across jurisdictions in which we operate and into which we expand, and, in overseas markets, including Europe, our EREV may be subject to more stringent or materially different emissions and type-approval requirements than those applicable in the PRC, which could further increase our compliance burden, associated regulatory, reporting and other costs and complexity, and limit our ability to market or sell such vehicles in those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proper and effective internal controls, our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Exchange Act, the Sarbanes-Oxley Act and the rules and regulations of the NYSE. The Sarbanes-Oxley Act requires, among other things, that we maintain effective disclosure controls and procedures and internal controls over financial reporting. Commencing with our fiscal year ended December 31, 2021, we must perform system and process evaluation and testing of our internal controls over financial reporting to allow management to report on the effectiveness of our internal controls over financial reporting in our Form 20-F filing for that year, as required by Section 404 of the Sarbanes-Oxley Act. In addition, beginning at the same time, our independent registered public accounting firm must attest to and report on the effectiveness of our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our management has concluded that our internal control over financial reporting was effective. See “Item 15. Controls and Procedures—Management’s Annual Report on Internal Control over Financial Reporting.” Our independent registered public accounting firm has issued a report, which has concluded that we maintained, in all material respects, effective internal control over financial reporting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However, our internal control over financial reporting may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maintain proper and effective internal controls, we may not be able to produce timely and accurate financial statements. If that were to happen, the market price of our ADSs and/or Class A ordinary shares could decline, and we could be subject to sanctions or investigations by the NYSE, SEC or other regulatory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upgrade our manufacturing equipment more quickly than expected, we may have to shorten the useful lives of any equipment to be retired as a result of any such update, and the resulting acceleration in our depreciation could negatively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We have invested and expect to continue to invest significantly in what we believe is state of the art tooling, machinery and other manufacturing equipment in our manufacturing facilities, and we depreciate the cost of such equipment over their expected useful lives. However, manufacturing technology may evolve rapidly, and we may decide to update our manufacturing process with cutting-edge equipment more quickly than expected. Moreover, as our engineering and manufacturing expertise and efficiency increase, we may be able to manufacture our Smart EVs and NEVs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warranty reserves may be insufficient to cover future warranty claims which could adversely affect our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offer competitive warranty terms. We accrue a warranty reserve for the Smart EVs and NEVs sold by us, which includes our best estimate of the projected costs to repair or replace items under warranties and recalls when identified. We generally make warranty reserve by multiplying the expected unit costs for warranty services by the sales volume. We have limited experience with warranty claims regarding our Smart EVs and NEVs or with estimating warranty reserves. As of December 31, 2025, we had warranty reserves in respect of our Smart EVs and NEVs of RMB1,794.9 million. We could, in the future, become subject to significant and unexpected warranty claims, resulting in significant expenses, which would in turn materially and adversely affect our business, prospects, financial condition and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political tensions between the United States and China. </w:t>
      </w:r>
    </w:p>
    <w:p>
      <w:pPr>
        <w:pStyle w:val="TextBody"/>
        <w:bidi w:val="0"/>
        <w:spacing w:before="120" w:after="0"/>
        <w:jc w:val="left"/>
        <w:rPr>
          <w:rFonts w:ascii="Times New Roman" w:hAnsi="Times New Roman"/>
          <w:sz w:val="20"/>
        </w:rPr>
      </w:pPr>
      <w:r>
        <w:rPr>
          <w:rFonts w:ascii="Times New Roman" w:hAnsi="Times New Roman"/>
          <w:sz w:val="20"/>
        </w:rPr>
        <w:t xml:space="preserve">Political tensions between the United States and China have escalated in recent years due to, among other things,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trade war between the two countries since 2018;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COVID-19 pandemic;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National People’s Congress’ passage of Hong Kong national security legislation;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U.S. sanctions on certain Chinese officials from China’s central government and the Hong Kong Special Administrative Region by the U.S. government, and the imposition of sanctions on certain individuals from the United States by the Chinese government;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U.S. export restrictions on certain advanced computing semiconductors and semiconductor manufacturing equipment by the U.S. government;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executive orders issued by the U.S. government, which include,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order issued in August 2020, as supplemented and amended from time to time, which prohibits certain transactions with ByteDance Ltd., Tencent Holdings Ltd. and the respective subsidiaries of such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order issued in November 2020, as supplemented and amended from time to time, including, among others, by an executive order issued in June 2021, that prohibits U.S. persons from transacting publicly traded securities of certain Chinese companies named in such executive order;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order issued in January 2021, as supplemented and amended from time to time, which prohibits such transactions as are identified by the U.S. Secretary of Commerce with certain “Chinese connected software applications,” including Alipay and WeChat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and application of sanction blocking statutes by the Chinese government, including the Rules on Counteracting Unjustified Extra-territorial Application of Foreign Legislation and Other Measures promulgated by the MOFCOM, on January 9, 2021, which will apply to Chinese individuals or entities that are purportedly barred by a foreign country’s law from dealing with nationals or entities of a third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statement by the President of the United States on February 29, 2024, directing the U.S. Department of Commerce to investigate the national security risks from connected vehicles that incorporate technology from countries of concern, including China, and the subsequent rulemaking by BIS that prohibits the sale or import into the United States of certain vehicle connectivity system hardware and certain connected vehicles;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inclusion of certain Chinese companies by the U.S. Department of Defense on its list of “Chinese military companies” that are “operating directly or indirectly in the United States” in accordance with Section 1260H of the National Defense Authorization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a program in January 2025 established by the U.S. Department of the Treasury, which imposed restrictions on U.S. outbound investment transactions involving persons of a “country of concern,” a designation currently limited to China, in certain technology sectors;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“America First Investment Policy” memorandum released by the President of the United States on February 21, 2025, which directed rulemaking by federal agencies that could further limit U.S. inbound and outbound investments involving China;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tariffs and other trade protection measures announced by the United States and China in 2025 (see “—We are subject to the risks associated with international trade policies, geopolitics and trade protection measures, and our business, financial condition and results of operations could be adversely affected.”)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Rising political tensions between China and the U.S. could reduce levels of trades, investments, technological exchanges and other economic activities between the two major economies, which would have a material adverse effect on global economic conditions and the stability of global financial markets. The measures taken by the U.S. and Chinese governments may have the effect of restricting our ability to transact or otherwise do business with entities within or outside of China and may cause investors to lose confidence in Chinese companies and counterparties, including us. If we were unable to conduct our business as it is currently conducted as a result of such regulatory changes,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U.S. government has imposed measures regarding limiting or restricting China-based companies from accessing U.S. capital markets and delisting certain China-based companies from U.S. national securities exchanges. For further information, see “—Risks Relating to Doing Business in China—The audit report included in this annual report is prepared by an auditor located in a jurisdiction which the U.S. Public Company Accounting Oversight Board was unable to inspect and investigate completely before 2022 and, as such, our investors have been deprived of the benefits of such inspections in the past, and may be deprived of the benefits of such inspections in the future.” In January 2021, after reversing its own delisting decision, the NYSE ultimately resolved to delist China Mobile, China Unicom and China Telecom in compliance with the executive order issued in November 2020, after receiving additional guidance from the U.S. Department of Treasury and its Office of Foreign Assets Control. In addition, the NYSE announced in February 2021 that it has determined to commence proceedings to delist CNOOC Limited in light of the same executive order. These delistings have introduced greater confusion and uncertainty about the status and prospects of Chinese companies listed on the U.S. stock exchanges. If any further measures were to be implemented, the resulting legislation may have a material and adverse impact on the stock performance of China-based issuers listed in the United States such as us, and we cannot assure you that we will always be able to maintain the listing of our ADSs on a national stock exchange in the U.S., such as the NYSE or the NASDAQ, or that you will always be allowed to trade our Class A ordinary shares or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the risks associated with international trade policies, geopolitics and trade protection measures, and our business, financial condition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international expansions may be negatively affected by export controls administered by the government authorities in different jurisdictions, deterioration in the political and economic relations among countries and sanctions and other geopolitical challenges, including, but not limited to, economic and labor conditions, increased duties, taxes and other costs and political instability. For example, the U.S. government has imposed export controls and economic sanctions directly or indirectly affecting China-based technology companies. Such laws and regulations are likely subject to frequent changes, and their interpretation and enforcement involves substantial uncertainties, which may be heightened by national security concerns or driven by political and/or other factors that are out of our control. Therefore, such restrictions, and similar or more expansive restrictions that may be imposed by the U.S. or other jurisdictions in the future, may be difficult or costly to comply with and may negatively affect our and our technology partners’ abilities to acquire technologies, systems, devices or components that may be critical to our technology infrastructure, service offerings and business operations. On February 29, 2024, the President of the United States issued a statement directing the U.S. Department of Commerce to investigate the national security risks from connected vehicles that incorporate technology from foreign adversaries, including China, and consider regulations to address those risks. On January 14, 2025, the BIS announced its final rulemaking, to prohibit the sale or import in the United States of certain vehicle connectivity system (“VCS”) hardware and connected vehicles that incorporate VCS hardware or software or automated driving system software, where such hardware or software has a sufficient nexus to China or Russia, as well as the sale in the United States of connected vehicles by manufacturers with a sufficient nexus to China or Russia incorporating any VCS hardware or software or automated driving system software. These prohibitions will hinder or prevent China-based Smart EV and NEV companies like us from accessing the U.S. market or transacting with persons or entities in, or selling to, the U.S. jurisdiction. It is also uncertain whether and how the U.S. government will impose further and more stringent regulations in the EV or Smart EV and NEV industries with respect to China-based entities. As of the date of this annual report, the United States has not been a market for our products or services. </w:t>
      </w:r>
    </w:p>
    <w:p>
      <w:pPr>
        <w:pStyle w:val="TextBody"/>
        <w:bidi w:val="0"/>
        <w:spacing w:before="240" w:after="0"/>
        <w:jc w:val="left"/>
        <w:rPr>
          <w:rFonts w:ascii="Times New Roman" w:hAnsi="Times New Roman"/>
          <w:sz w:val="20"/>
        </w:rPr>
      </w:pPr>
      <w:r>
        <w:rPr>
          <w:rFonts w:ascii="Times New Roman" w:hAnsi="Times New Roman"/>
          <w:sz w:val="20"/>
        </w:rPr>
        <w:t xml:space="preserve">Trade tensions have also been increasing recently in the form of higher tariffs, including tariffs imposed on EVs from China. On October 4, 2023, the European Commission published a notice of initiation of EU anti-subsidy investigations into EU imports of EVs from China (the “EU Subsidy Probe”). Using the sampling method, the European Commission selected several companies as investigation targets of the EU Subsidy Probe, and as of the date of this annual report, we have not been named or selected under similar investigation. On October 29, 2024, the European Commission concluded its EU Subsidy Probe by imposing definitive countervailing duties on imports of EVs from China for a period of five years, according to which, other than certain sampled Chinese EV companies, the cooperating companies including us will be subject to an additional tariff of 20.7% on top of the existing tariff, while the non-cooperating companies will be subject to an additional tariff of 35.3%. There can be no assurance that we will not be publicly named, inquired or investigated by any authority on the basis of national security or anti-subsidy. As a further development, on January 12, 2026, the European Commission issued a general guidance to Chinese exporters of EVs on the submission of price undertaking offers, including minimum import price commitments, as part of ongoing discussions between the EU and China regarding possible alternatives to these duties. In addition, on May 14, 2024, the U.S. government announced an increase in tariffs on, among other imports, electric vehicles from China to a tariff rate of 100% from the earlier rate of 25%, which entered into effect on September 27, 2024. In addition, on March 26, 2025, the U.S. government also imposed a 25% tariff on imports of automobiles and certain automobile parts. In early 2025, the U.S. government has implemented or proposed to implement policies restricting international trade in the form of new or higher tariffs, including on products imported from China. In April 2025, the President of the United States announced a 10% tariff on goods imported into the United States and higher country-specific tariffs, including for goods originating from China. China and the United States have each responded by imposing further tariffs on products imported from the other country and taking other measures. Following negotiations in May 2025, China and the United States agreed to temporarily suspend the imposition of certain tariff increases, and, in November 2025, both countries further agreed to extend the relevant suspension of additional tariff through November 2026. There remains a high degree of uncertainty around the U.S. trade policies and tariffs as of the date hereof, and it remains uncertain how U.S. trade policies and tariffs may affect international trade and global economy outlook.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increases in investigations and tariffs in overseas markets may adversely affect the exports of EVs from China, such as our products, into overseas markets, and our strategy of expanding into overseas markets may be negatively impacted. Any of these circumstances may also materially and adversely affect our business, results of operations, financial condition, and reputation and may further cause the trading prices of our Class A ordinary shares and the ADSs to decline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risks associated with the international sale of our Smart EVs and NEVs, and if we are unable to effectively manage these risks,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While we have been primarily selling our Smart EVs and NEVs in China, we have been exploring opportunities to expand into international markets. For details of the pace of our global expansion, please see “Item 4. Information on the Company—B. Business Overview—Sales and Marketing.” While we expect China will continue to be our primary market, the marketing and sale of our Smart EVs and NEVs to international markets may increase in the future, which will expose us to a number of risks, including, but not limited, to: </w:t>
      </w:r>
    </w:p>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associated with maintaining the ability to understand the local markets and develop and maintain effective marketing and distributing presence in various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recruiting and retaining talented and capable employees outside China and maintaining our company culture across all of our offices;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customer service and support in these markets;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with staffing and managing overseas operations;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develop appropriate risk management and internal control structures tailored to overseas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relating to compliance with different commercial and legal requirements of the overseas markets in which we offer or plan to offer our products and services including charging and other electric infrastructures;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by us and our business partners with anti-corruption laws, import and export control laws, tariffs, trade barriers, economic sanctions and other regulatory limitations or perceptions on our ability to provide our products in certain international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in the global macroeconomic environment, and changes in diplomatic and trade relationships, including the imposition of new trade restrictions, trade protection measures, import or export requirements, trade embargoes and other trade barriers;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or maintain permits, certifications or approvals for our products or services in these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safety concerns and measures needed to address accident-related risks in different countries and regions;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maintain or enforce intellectual property rights;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of leakage or misuse of our proprietary technology or know-how;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unanticipated changes in prevailing economic conditions and regulatory requirements;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political instability, heightened geopolitical tensions, military conflicts, and acts of terrorism or similar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expansion into international markets will require us to respond timely and effectively to rapid changes in market conditions in the relevant countries. Our success in international expansion depends, in part, on our ability to succeed in different legal, regulatory, economic, environmental, social and political conditions which we have little control over. The current and evolving overseas legal and legislative requirements may also impose challenges to our international expansion, thereby increasing the compliance-related operating costs of our company. For example, our operations in Europe may be subject to regulations to improve sustainability and environment, and we may be subject to non-financial reporting requirements under the EU Corporate Sustainability Reporting Directive (2022/2464). In addition, the EU is expected to implement in phases the Corporate Sustainability Due Diligence Directive (2024/1760) along with the proposed amendments which will require certain large companies to undertake mandatory due diligence regarding human rights and environmental impacts along their supply chains. Moreover, the new EU Batteries Regulation contains full life-cycle mandatory provisions relating to the recycling and collection of batteries including EV batteries, and we may bear the obligation as an “economic operator” under such new regulation. We may not be able to develop and implement policies and strategies that will be effective in each location where we do business. We rely on local dealers to penetrate and expand in certain jurisdictions and entered into wholesale arrangements with such dealers. We may not be able to monitor the sales and marketing activities of our vehicles by local dealers in overseas markets as directly and effectively as we do in China. In addition, as part of our international expansion, we strategically collaborate with third-party manufacturers in certain overseas markets to support localized production, including through knocked down arrangements. We may not be able to manage or coordinate with our manufacturing partners as effectively as we do with our self-operated manufacturing facilities in China, including with respect to production planning, capacity allocation, quality management, supply chain coordination and delivery schedules. There can also be no assurance that local dealers or overseas manufacturing partners will always comply with the applicable agreements and report the relevant information associated with our international development in a timely and accurate manner. Any failure to do so may result in high dealer inventory, high retail price discount, manufacturing delays or disruptions, product quality issues, higher warranty or remedial costs, and unsatisfactory customer experience. Moreover, any failure to formulate and implement effective strategies in the relevant market, or violation of applicable laws and regulations, may have a material adverse effect on our business, reputation,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and may continue to incur substantial share-based compensation expenses. </w:t>
      </w:r>
    </w:p>
    <w:p>
      <w:pPr>
        <w:pStyle w:val="TextBody"/>
        <w:bidi w:val="0"/>
        <w:spacing w:before="120" w:after="0"/>
        <w:jc w:val="left"/>
        <w:rPr>
          <w:rFonts w:ascii="Times New Roman" w:hAnsi="Times New Roman"/>
          <w:sz w:val="20"/>
        </w:rPr>
      </w:pPr>
      <w:r>
        <w:rPr>
          <w:rFonts w:ascii="Times New Roman" w:hAnsi="Times New Roman"/>
          <w:sz w:val="20"/>
        </w:rPr>
        <w:t xml:space="preserve">In 2015, our subsidiary, Chengxing Zhidong, adopted a share incentive plan, pursuant to which options were granted to certain employees of Chengxing Zhidong and its subsidiaries. In June 2020, XPeng Inc. adopted a share incentive plan, or the 2019 Plan, to replace the share incentive plan adopted by Chengxing Zhidong, and we issued restricted share units, or RSUs to replace the options granted to certain employees of Chengxing Zhidong and its subsidiaries. In 2025, we adopted an additional share incentive scheme, or the 2025 Scheme, which was approved by the shareholders at the annual general meeting. Upon the effectiveness of the 2025 Scheme on June 27, 2025, the 2019 Plan will be discontinued so that no further grant will be made under the 2019 Plan. For details of the 2025 Scheme, please refer to “Item 6. Directors, Senior Management and Employees—B. Compensation—Share Incentive Plans.” As of March 31, 2026, RSUs which represent 52,893,817 underlying Class A ordinary shares were outstanding (which do not include the Class A ordinary shares underlying the vested RSUs), and 18,144 shares underlying such RSUs were held by XPeng Fortune Holdings Limited, or XPeng Fortune, which has been established for our share incentive plan. We are required to recognize compensation expense for an equity award over the period in which the recipient is required to provide service in exchange for the equity award. Because the vesting of the RSUs (including the RSUs issued to replace the options granted under the share incentive plan of Chengxing Zhidong) granted prior to our initial public offering in the U.S. was contingent upon the completion of an initial public offering or change in control, we started to recognize share-based compensation expense after the completion of our initial public offering in the U.S. in August 2020. The Group recognized RMB550.5 million, RMB473.7 million and RMB564.3 million of share-based compensation expenses in 2023, 2024 and 2025, respectively. Moreover, as we expect to grant additional RSUs or other share incentives to our employees, directors or consultants in the future, we will incur additional share-based compensation expense, and our results of operations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financial or economic crisis, or perceived threat of such a crisis, including a significant decrease in consumer confidence, may materially and adversely affect our business, prospects, financial condition and results of operation. </w:t>
      </w:r>
    </w:p>
    <w:p>
      <w:pPr>
        <w:pStyle w:val="TextBody"/>
        <w:bidi w:val="0"/>
        <w:spacing w:before="120" w:after="0"/>
        <w:jc w:val="left"/>
        <w:rPr>
          <w:rFonts w:ascii="Times New Roman" w:hAnsi="Times New Roman"/>
          <w:sz w:val="20"/>
        </w:rPr>
      </w:pPr>
      <w:r>
        <w:rPr>
          <w:rFonts w:ascii="Times New Roman" w:hAnsi="Times New Roman"/>
          <w:sz w:val="20"/>
        </w:rPr>
        <w:t xml:space="preserve">The global macroeconomic environment is facing challenges, including the economic slowdown in the Eurozone since 2014, potential impact of the United Kingdom’s exit from the European Union in January 2020, and the adverse impact on the global economies and financial markets from the COVID-19 pandemic. There is considerable uncertainty over the long-term effects of the expansionary monetary and fiscal policies adopted by the central banks and financial authorities of some of the world’s leading economies, including the United States and China. The ongoing trade tensions between the United States and China may have tremendous negative impact on the economies of not merely the two countries concerned, but the global economy as a whole. Moreover, the current geopolitical tensions may adversely affect our businesses and operations and increase our costs in the relevant areas. It is unclear whether these challenges will be contained and what effects they each may have in the long term. Economic conditions in China are sensitive to global economic conditions. Recently there have been signs that the rate of China’s economic growth is declining. Any prolonged slowdown in global or China’s economic development might lead to tighter credit markets, increased market volatility, sudden drops in business and consumer confidence and dramatic changes in business and consumer behaviors. Credit risks of customers and suppliers and other counterparty risks may also increase. </w:t>
      </w:r>
    </w:p>
    <w:p>
      <w:pPr>
        <w:pStyle w:val="TextBody"/>
        <w:bidi w:val="0"/>
        <w:spacing w:before="240" w:after="0"/>
        <w:jc w:val="left"/>
        <w:rPr>
          <w:rFonts w:ascii="Times New Roman" w:hAnsi="Times New Roman"/>
          <w:sz w:val="20"/>
        </w:rPr>
      </w:pPr>
      <w:r>
        <w:rPr>
          <w:rFonts w:ascii="Times New Roman" w:hAnsi="Times New Roman"/>
          <w:sz w:val="20"/>
        </w:rPr>
        <w:t xml:space="preserve">Sales of our Smart EVs and NEVs depend in part on discretionary consumer spending and are even more exposed to adverse changes in general economic conditions. In response to their perceived uncertainty in economic conditions, consumers might delay, reduce or cancel purchases of our Smart EVs and NEVs, and our results of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various laws relating to export controls. </w:t>
      </w:r>
    </w:p>
    <w:p>
      <w:pPr>
        <w:pStyle w:val="TextBody"/>
        <w:bidi w:val="0"/>
        <w:spacing w:before="120" w:after="0"/>
        <w:jc w:val="left"/>
        <w:rPr>
          <w:rFonts w:ascii="Times New Roman" w:hAnsi="Times New Roman"/>
          <w:sz w:val="20"/>
        </w:rPr>
      </w:pPr>
      <w:r>
        <w:rPr>
          <w:rFonts w:ascii="Times New Roman" w:hAnsi="Times New Roman"/>
          <w:sz w:val="20"/>
        </w:rPr>
        <w:t xml:space="preserve">We have been conducting a portion of our research and development on ADAS in the United States, and we are required to comply with the U.S. laws and regulations on export controls, including the U.S. Department of Commerce’s Export Administration Regulations. Furthermore, in August 2022, the United States enacted the Creating Helpful Incentives to Produce Semiconductors and Science Act of 2022, or the CHIPS Act, which aims to strengthen U.S. domestic semiconductor manufacturing, design and research, fortify the economy and national security, and to help the United States compete economically against China. In addition, the BIS imposed additional export controls on certain advanced computing semiconductor chips, integrated circuits, semiconductor manufacturing items and related transactions in October 2022. In October 2023, the BIS announced additional semiconductor regulations expanding and enhancing export controls under the October 2022 regulations. In December 2024, the BIS announced further restrictions on the export of technologies relating to advanced-node semiconductors. On January 13, 2025, BIS announced an export control framework for artificial intelligence diffusion that would have imposed additional restrictions on advanced computing chips and certain artificial intelligence model weights in connection with China; however, in May 2025, the U.S. Department of Commerce rescinded this framework before its original compliance requirements took effect while announcing additional actions to strengthen export controls on semiconductors worldwide. Additionally, in January 2025, the Outbound Investment Rule became effective, which imposed restrictions on U.S. outbound investment transactions involving persons of “countries of concern,” a designation currently limited to China, in certain technology sectors. On December 18, 2025, the COINS Act was signed into law, which, among others, required U.S. Department of the Treasury to issue regulations that may amend, supersede, or otherwise modify the existing Outbound Investment Rule not later than 450 days after the date of the COINS Act’s enactment. The content of the implementation regulations remain uncertain, and in the meantime, the existing Outbound Investment Rule will remain in effect. These export controls and regulatory restrictions, as well as other similar regulatory restrictions that may be imposed from time to time, may adversely affect certain parts of our operations, including our efforts to further our ADAS systems and develop and utilize our processing hardware. There can be no assurance that the United States or other countries will not impose more stringent export controls that may prohibit or restrict our ability to, directly or indirectly, source semiconductor and other components and raw materials, or otherwise affect our business. It is difficult to predict what further trade-related actions the United States or other governments may take, and we may be unable to quickly and effectively react to or mitigate such actions. The implementation, interpretation and impact on our business of these rules and other regulatory actions taken by the U.S. government is uncertain. These actions and/or other actions that may be taken by the governments of either the U.S. or China, or both (including in response to recent increased tensions), could hinder our ability to transfer our U.S.-origin software to China, source U.S.-origin software and components or otherwise access U.S. technology, which could materially and adversely affect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effectively manage our inventory, our results of operations and financial condition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In order to operate our business effectively and meet our consumers’ demands and expectations, we must maintain a certain level of inventory to ensure timely delivery. We determine our level of inventory based on our experience, number of orders from customers and assessment of customer demand. </w:t>
      </w:r>
    </w:p>
    <w:p>
      <w:pPr>
        <w:pStyle w:val="TextBody"/>
        <w:bidi w:val="0"/>
        <w:spacing w:before="240" w:after="0"/>
        <w:jc w:val="left"/>
        <w:rPr>
          <w:rFonts w:ascii="Times New Roman" w:hAnsi="Times New Roman"/>
          <w:sz w:val="20"/>
        </w:rPr>
      </w:pPr>
      <w:r>
        <w:rPr>
          <w:rFonts w:ascii="Times New Roman" w:hAnsi="Times New Roman"/>
          <w:sz w:val="20"/>
        </w:rPr>
        <w:t xml:space="preserve">However, forecasts are inherently uncertain, and the demand for our products could change significantly between the order date and the projected delivery date. If we fail to accurately forecast the demand, including with respect to our vehicle models that are at or near the end of production cycle, we may experience inventory obsolescence and inventory shortage risk. Inventory levels in excess of demand may result in inventory write-downs or write-offs and the sale of excess inventory at discounted prices, which would have an adverse effect on our profitability. We recognized inventory write-downs of RMB1,054.7 million, RMB943.7 million and RMB555.4 million in 2023, 2024 and 2025, respectively. We have incurred losses on purchase commitments mainly for raw materials in relation to the cessation of certain models, including the G3i in 2023, the P5 in 2024 and the P7 and P7i in 2025, as well as upgrades of existing models, and similar losses may occur in the future. In addition, if we underestimate the demand for our products, our manufacturers may not be able to produce a sufficient number of products to meet such unanticipated demand, which could result in delays in the delivery of our products and harm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above may materially and adversely affect our results of operations and financial condition. As we plan to continue to expand our product offerings, we may continue to face challenges in effectively managing our inventory.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impairment charges to our balance of intangible assets could materially and adversely impact our financial position and results of the Group’s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Group’s intangible assets primarily consist of manufacturing license, license plate, software and license of maintenance and overhaul, vehicle model, vehicle platform technology, robotics platform technology and other intangible assets. In addition, the Group’s controlling financial interest (as a result of existing contractual arrangements and as the term is defined under ASC 810) provides for the consolidation of the Group VIEs which hold certain licenses. Such contractual arrangements may not be as effective as direct ownership in providing us with control over the Group VIEs. See “—Risks Relating to Our Corporate Structure— We rely on contractual arrangements with the Group VIEs and their respective affiliate shareholders to operate certain businesses that do not have and are not expected in the foreseeable future to have material revenue contributions to the Group. Such contractual arrangements may not be as effective as direct ownership in providing operational control and otherwise have a material adverse effect as to our business.” The Group’s intangible assets amounted to RMB4,949.0 million, RMB4,610.5 million and RMB4,253.2 million as of December 31, 2023, 2024 and 2025, respectively. The Group tests finite-lived intangible assets for impairment if impairment indicators arise. The indefinite-lived intangible assets are tested for impairment annually or whenever events or changes in circumstances indicate that the carrying value of the assets may not be recoverable. Any significant impairment losses charged against the Group’s intangible assets could have a material adverse effect on the Group’s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recorded a significant amount of intangible assets and goodwill in connection with our acquisitions, and we may incur material impairment charges to our intangible assets and goodwill if the recoverability of these assets becomes substantially reduced.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acquisitions in 2023, we recorded a significant amount of indefinite-lived intangible assets of RMB609.2 million and goodwill of RMB34.1 million in our financial statements. The VMTUD acquired through business combination is considered indefinite-lived until the completion of the associated research and development efforts and a determination related to commercial feasibility. As of December 31, 2024, the VMTUD was transferred into VMT as finite-lived intangible assets upon its completion and its estimated useful life is assessed to be 5 years. The value of these intangible assets and goodwill is based on assumptions and judgments. If any of the assumptions does not materialize, or if the performance of our business is not consistent with such assumptions, we may be required to have a significant write-off of these intangible assets and goodwill and record an impairment loss, which could in turn adversely affect our results of operations. We will determine whether these intangible assets and goodwill are impaired at least on an annual basis and there are inherent uncertainties relating to these factors and to our management’s judgment in applying these factors to the impairment assessment. We could be required to evaluate the impairment prior to the annual assessment if there are any impairment indicators, including disruptions to business operations and unexpected significant declines in operating results or a decline in our market capitalization. We may also suffer from significant impairment loss even if we determine to amend any assumption used in our impairment testing. If we record an impairment loss as a result of these or other factors, our results of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 of fair value change in short-term investments may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made short-term investments, mainly comprising of the investments issued by major and reputable commercial banks with a variable interest rate indexed to the performance of underlying assets. Short-term investments are stated at fair value. Changes in the fair value are reflected in our consolidated statements of comprehensive loss. The methodology that we use to assess the fair value of the short-term investments involves a significant degree of management judgment and is inherently uncertain. We cannot assure you that market conditions will create fair value gains on our short-term investments, or we will not incur any fair value losses on short-term investments in the future. If we incur such fair value losses, our results of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continue to receive preferential tax treatments, our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have benefited from government grants and preferential tax treatments, many of which are non-recurring in nature or are subject to periodic review. There can be no assurance we will continue to receive preferential tax treatment. If we are unable to receive such treatment in the future, our results of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recognition of deferred revenue is subject to future performance obligations and may not be representative of revenues for succeeding periods. </w:t>
      </w:r>
    </w:p>
    <w:p>
      <w:pPr>
        <w:pStyle w:val="TextBody"/>
        <w:bidi w:val="0"/>
        <w:spacing w:before="120" w:after="0"/>
        <w:jc w:val="left"/>
        <w:rPr>
          <w:rFonts w:ascii="Times New Roman" w:hAnsi="Times New Roman"/>
          <w:sz w:val="20"/>
        </w:rPr>
      </w:pPr>
      <w:r>
        <w:rPr>
          <w:rFonts w:ascii="Times New Roman" w:hAnsi="Times New Roman"/>
          <w:sz w:val="20"/>
        </w:rPr>
        <w:t xml:space="preserve">Our deferred revenue represents transaction payments allocated to performance obligations that are unsatisfied, which primarily arises from, among others, the undelivered vehicles, technical research and development services, charging piles and free battery charging within certain limits. Our deferred revenue balance was RMB1,299.9 million, RMB2,098.4 million and RMB2,669.1 million, as of December 31, 2023, 2024 and 2025, respectively. The timing and ultimate recognition of our deferred revenue depend on various factors, including our performance of obligations. As a result, deferred revenue at any particular date may not be representative of actual revenue for any succeeding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recorded shareholders’ deficit. </w:t>
      </w:r>
    </w:p>
    <w:p>
      <w:pPr>
        <w:pStyle w:val="TextBody"/>
        <w:bidi w:val="0"/>
        <w:spacing w:before="120" w:after="0"/>
        <w:jc w:val="left"/>
        <w:rPr>
          <w:rFonts w:ascii="Times New Roman" w:hAnsi="Times New Roman"/>
          <w:sz w:val="20"/>
        </w:rPr>
      </w:pPr>
      <w:r>
        <w:rPr>
          <w:rFonts w:ascii="Times New Roman" w:hAnsi="Times New Roman"/>
          <w:sz w:val="20"/>
        </w:rPr>
        <w:t xml:space="preserve">We recorded total shareholders’ deficit of RMB6,830.4 million as of December 31, 2019, primarily due to the accounting treatment for our company’s preferred shares before our initial public offering in the U.S. as total mezzanine equity, and not total shareholders’ equity. After our initial public offering in the United States in August 2020, all of the preferred shares had been converted into ordinary shares. As such, as of December 31, 2025, we did not have any mezzanine equity and recorded total shareholders’ equity of RMB30,368.6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total shareholders’ deficit recorded during 2019 was not due to capital shortage and primarily resulted from accounting treatment of preferred shares, we cannot assure you that we will be able to continue to record total shareholders’ equity and total net assets in the future. If we fail to do so, our financial condition may deteriorate.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risks related to natural disasters, health epidemics and other outbreaks, which could significantly disrupt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adversely affected by the effects of epidemics. In recent years, there have been outbreaks of epidemics in China and globally. If any of our employees are identified as a possible source of spreading COVID-19, H1N1 flu, avian flu or another epidemic, we may be required to quarantine employees that are suspected of being infected, as well as others that have come into contact with those employees. We may also be required to disinfect our affected premises, which could cause a temporary suspension of certain business operations. A recurrence of an outbreak of COVID-19, H1N1 flu, avian flu or another epidemic could restrict the level of economic activities generally and/or slow down or disrupt our business activities, which could in turn adversely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Group experienced certain disruptions in its operations as a result of the government-imposed suspensions due to the COVID-19 pandemic in China in the previous years. In particular, a substantial number of our offices and stores, as well as our manufacturing facilities, were closed for certain periods in the first quarter of 2020, which adversely affected our Smart EV deliveries during that period. The pandemic affected and may affect future delivery of components from certain suppliers that suspended production. For example, some of our suppliers were unable to deliver sufficient components to us due to the COVID-19 pandemic. We cannot assure you that such situation will not occur in the future if the COVID-19 pandemic resurges and that we will be able to find alternative suppliers should that happen in the future. See also “—We are dependent on our suppliers, some of which are single-source suppliers. Suppliers may fail to deliver necessary components of our Smart EVs and NEVs according to our schedule and at prices, quality levels and volumes acceptable to us.” In addition, we incurred additional costs relating to the delivery of new Smart EVs and NEVs to customers’ homes, mask donations to our customers, technology advancement for remote working arrangements and OTA firmware updates during the pandemic. </w:t>
      </w:r>
    </w:p>
    <w:p>
      <w:pPr>
        <w:pStyle w:val="TextBody"/>
        <w:bidi w:val="0"/>
        <w:spacing w:before="240" w:after="0"/>
        <w:jc w:val="left"/>
        <w:rPr>
          <w:rFonts w:ascii="Times New Roman" w:hAnsi="Times New Roman"/>
          <w:sz w:val="20"/>
        </w:rPr>
      </w:pPr>
      <w:r>
        <w:rPr>
          <w:rFonts w:ascii="Times New Roman" w:hAnsi="Times New Roman"/>
          <w:sz w:val="20"/>
        </w:rPr>
        <w:t xml:space="preserve">We are also vulnerable to natural disasters and other calamities, especially those relating to climate change. Although we have servers that are hosted in an offsite location, our backup system does not capture data on a real-time basis and we may be unable to recover certain data in the event of a server failure. Moreover, the current geopolitical tensions may also pose potential challenges for our businesses and operations in the relevant areas.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to our customers. </w:t>
      </w:r>
    </w:p>
    <w:p>
      <w:pPr>
        <w:pStyle w:val="TextBody"/>
        <w:bidi w:val="0"/>
        <w:spacing w:before="360" w:after="0"/>
        <w:jc w:val="left"/>
        <w:rPr>
          <w:rFonts w:ascii="Times New Roman" w:hAnsi="Times New Roman"/>
          <w:sz w:val="20"/>
        </w:rPr>
      </w:pPr>
      <w:r>
        <w:rPr>
          <w:rFonts w:ascii="Times New Roman" w:hAnsi="Times New Roman"/>
          <w:b/>
          <w:sz w:val="20"/>
        </w:rPr>
        <w:t>Risks Relating to Doing Business in China</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and developments in the political, economic and social policies of the PRC government may materially and adversely affect our business, financial condition and results of operations and may result in our inability to sustain our growth and expansion strategies. </w:t>
      </w:r>
    </w:p>
    <w:p>
      <w:pPr>
        <w:pStyle w:val="TextBody"/>
        <w:bidi w:val="0"/>
        <w:spacing w:before="120" w:after="0"/>
        <w:jc w:val="left"/>
        <w:rPr>
          <w:rFonts w:ascii="Times New Roman" w:hAnsi="Times New Roman"/>
          <w:sz w:val="20"/>
        </w:rPr>
      </w:pPr>
      <w:r>
        <w:rPr>
          <w:rFonts w:ascii="Times New Roman" w:hAnsi="Times New Roman"/>
          <w:sz w:val="20"/>
        </w:rPr>
        <w:t xml:space="preserve">The Group’s operations are mainly conducted in the PRC, and historically our revenues have primarily been sourced from the PRC. Accordingly, our financial condition and results of operations are affected to a significant extent by economic, political, social and legal developments in the PRC.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restricting the inflow and outflow of foreign capital, regulating financial services and institutions and providing preferential treatment to particular industries or companies. </w:t>
      </w:r>
    </w:p>
    <w:p>
      <w:pPr>
        <w:pStyle w:val="TextBody"/>
        <w:bidi w:val="0"/>
        <w:spacing w:before="240" w:after="0"/>
        <w:jc w:val="left"/>
        <w:rPr>
          <w:rFonts w:ascii="Times New Roman" w:hAnsi="Times New Roman"/>
          <w:sz w:val="20"/>
        </w:rPr>
      </w:pPr>
      <w:r>
        <w:rPr>
          <w:rFonts w:ascii="Times New Roman" w:hAnsi="Times New Roman"/>
          <w:sz w:val="20"/>
        </w:rPr>
        <w:t xml:space="preserve">While the PRC economy has experienced significant growth in the past decades, growth has been uneven, both geographically and among various sectors of the economy. Recently there have been signs that the rate of China’s economic growth is declining. Any prolonged slowdown in China’s economic development could have a material adverse effect on our businesses,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PRC government has implemented various measures to encourage economic growth and guide the allocation of resources. Some of these measures may benefit the overall PRC economy but may also have a negative effect on us. Our financial condition and results of operations could be materially and adversely affected by government control over capital investments or changes in tax regulations that are applicable to us. The PRC government also has significant authority to exert influence on the ability of a China-based issuer, such as our company, to conduct its business. The PRC government may intervene or influence the Group’s operations at any time, which could result in a material change in the Group’s operations and/or the value of our ADSs and Class A ordinary shares. In particular, the PRC government has recently promulgated new laws and regulations to exert more oversight and control over offerings that are conducted overseas and/or foreign investment in China-based issuers. See “Item 4. Information on the Company—B. Business Overview—Regulation—Regulations on M&amp;A Rules and Overseas Listings.” Any such regulatory oversight or control could significantly limit or completely hinder our ability to offer or continue to offer securities to investors and cause the value of our securities to significantly decline or become worthless. In addition, the PRC government has implemented in the past certain measures to control the pace of economic growth. These measures may cause decreased economic activity, which in turn could lead to a reduction in demand for our services and consequently have a material adverse effect on our businesses,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and developments in the PRC legal system and the interpretation and enforcement of PRC laws, rules and regulations may subject us to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Group’s operations are mainly conducted in the PRC, and are governed by PRC laws, rules and regulations. The PRC legal system is a civil law system based on written statutes. Unlike the common law system, prior court decisions may be cited for reference but have limited precedential value. </w:t>
      </w:r>
    </w:p>
    <w:p>
      <w:pPr>
        <w:pStyle w:val="TextBody"/>
        <w:bidi w:val="0"/>
        <w:spacing w:before="240" w:after="0"/>
        <w:jc w:val="left"/>
        <w:rPr>
          <w:rFonts w:ascii="Times New Roman" w:hAnsi="Times New Roman"/>
          <w:sz w:val="20"/>
        </w:rPr>
      </w:pPr>
      <w:r>
        <w:rPr>
          <w:rFonts w:ascii="Times New Roman" w:hAnsi="Times New Roman"/>
          <w:sz w:val="20"/>
        </w:rPr>
        <w:t xml:space="preserve">The overall effect of legislation over the past decades has significantly enhanced the protections afforded to various forms of foreign investment in China. However, the PRC legal system is still evolving rapidly, and the PRC governmental authorities may continue to promulgate new laws and regulations regulating our businesses. In addition, rules and regulations in China can change quickly with little advance notice. We cannot assure you that our business operations would not be deemed to be violating any existing or future PRC laws or regulations, which in turn may limit or restrict us, and could materially and adversely affect our business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certain PRC regulatory authorities issued Opinions on Strictly Cracking Down on Illegal Securities Activities,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 On February 17, 2023, the CSRC promulgated the Overseas Listing Trial Measures, and relevant five guidelines on the application of Regulatory Rules, which took effect from March 31, 2023, requiring Chinese domestic companies’ overseas equity offerings or listings be filed with the CSRC. The Overseas Listing Trial Measures clarify the scope of overseas offerings or listings by Chinese domestic companies which are subject to the filing and reporting requirements thereunder, and provide, among others, that Chinese domestic companies that have already directly or indirectly offered and listed securities in overseas markets prior to the effectiveness of the Overseas Listing Trial Measures shall fulfil their filing obligations and report relevant information to the CSRC within three working days after conducting a follow-on securities offering on the same overseas market, and follow the relevant reporting requirements within three working days upon the occurrence and public disclosure of any specified circumstances provided thereunder. In addition, we cannot guarantee that new rules or regulations promulgated in the future will not impose any additional requirement on us or otherwise tighten the regulations on PRC companies seeking overseas offering or listing. If it is determined that any approval, filing or other administrative procedure from the CSRC or other PRC governmental authorities is required for our future follow-on public offering or debt financing activities, we cannot assure that we can obtain the required approval or accomplish the required filings or other regulatory procedures in a timely manner, or at all. If we fail to obtain the relevant approval or complete the filings and other relevant regulatory procedures, we may face penalties by the CSRC or other PRC governmental authorities, which may include fines and penalties on our operations in China, limitations on our operating privileges in China, restrictions on or prohibition of the payments or remittance of dividends by our subsidiaries in China, or other actions that could have a material and adverse effect on our business, financial condition, results of operations, reputation and prospects, as well as the trading price of our Class A ordinary shares or ADSs. </w:t>
      </w:r>
    </w:p>
    <w:p>
      <w:pPr>
        <w:pStyle w:val="TextBody"/>
        <w:bidi w:val="0"/>
        <w:spacing w:before="240" w:after="0"/>
        <w:jc w:val="left"/>
        <w:rPr>
          <w:rFonts w:ascii="Times New Roman" w:hAnsi="Times New Roman"/>
          <w:sz w:val="20"/>
        </w:rPr>
      </w:pPr>
      <w:r>
        <w:rPr>
          <w:rFonts w:ascii="Times New Roman" w:hAnsi="Times New Roman"/>
          <w:sz w:val="20"/>
        </w:rPr>
        <w:t xml:space="preserve">Any administrative and court proceedings in China may be time-consuming, resulting in substantial costs and diversion of resources and management attention. Since PRC administrative and court authorities have certain discretion in interpreting and implementing statutory and contractual terms, it may be difficult to evaluate the outcome of administrative and court proceedings and the level of legal protection we enjoy. These uncertainties may impede our ability to enforce the contracts we have entered into and/or our intellectual property rights and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audit report included in this annual report is prepared by an auditor located in a jurisdiction which the U.S. Public Company Accounting Oversight Board was unable to inspect and investigate completely before 2022 and, as such, our investors have been deprived of the benefits of such inspections in the past, and may be deprived of the benefits of such inspections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Our auditor, the independent registered public accounting firm that issues the audit report included elsewhere in this annual report, as an auditor of companies that are traded publicly in the U.S. and a firm registered with the U.S. Public Company Accounting Oversight Board, or the PCAOB, is required by the laws of the U.S. to undergo regular inspections by the PCAOB to assess its compliance with the laws of the U.S. and professional standards.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In 2021, the PCAOB made determinations that the positions taken by PRC authorities prevented the PCAOB from inspecting and investigating firms headquartered in Chinese Mainland and Hong Kong completely. On August 26, 2022, the PCAOB signed a Statement of Protocol with the CSRC and the MOF, taking the first step toward opening access for the PCAOB to inspect and investigate completely registered public accounting firms headquartered in Chinese Mainland and Hong Kong. According to its announcement, the PCAOB sent staff to conduct on-site inspections and investigations in Hong Kong from September to November 2022. On December 15, 2022, the PCAOB issued a report that vacated its December 16, 2021 determination and removed Chinese Mainland and Hong Kong from the list of jurisdictions where it is unable to inspect or investigate completely registered public accounting firms. Our auditor is located in China, a jurisdiction where the PCAOB was historically unable to conduct inspections and investigations completely before 2022. As a result, we and investors in the ADSs were deprived of the benefits of such PCAOB inspections. The inability of the PCAOB to conduct complete inspections of auditors in China before 2022 may have made it more difficult to evaluate the effectiveness of our auditor’s audit procedures or quality control procedures as compared to auditors outside of China that are subject to PCAOB inspections.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the PCAOB announced in December 2022 that it secured complete access to inspect and investigate registered public accounting firms headquartered in China and vacated its December 16, 2021 determination and removed Chinese Mainland and Hong Kong from the list of jurisdictions where it is unable to inspect or investigate completely registered public accounting firms, we cannot assure you that the PCAOB will continue to have such access in the future. If the PCAOB is not able to inspect and investigate completely auditors in China for any reason, such as any change in the position of the governmental authorities in China in the future, our investors may be deprived of the benefits of such inspections again, which could cause investors or potential investors in our ADSs to lose confidence in the quality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PCAOB determines that it is unable to inspect or investigate completely our auditor at any point in the future for two consecutive years,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HFCA Act was signed into law on December 18, 2020 and amended pursuant to the Consolidated Appropriations Act, 2023 on December 29, 2022. Under the HFCA Act and the rules issued by the SEC and the PCAOB thereunder, if we have retained a registered public accounting firm to issue an audit report where the registered public accounting firm has a branch or office that is located in a foreign jurisdiction and the PCAOB has determined that it is unable to inspect or investigate completely because of a position taken by an authority in the foreign jurisdiction, the SEC will identify us as a “covered issuer”, or an SEC-identified issuer, shortly after we file with the SEC a report required under the Securities Exchange Act of 1934, or the Exchange Act (such as our annual report on Form 20-F) that includes an audit report issued by such accounting firm; and if we were to be identified as an SEC-identified issuer for two consecutive years, the SEC would prohibit our securities (including our shares or ADSs) from being traded on a national securities exchange or in the over-the-counter trading market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PCAOB made its determinations, or the 2021 determinations, pursuant to the HFCA Act that it was unable to inspect or investigate completely registered public accounting firms headquartered in Chinese Mainland or Hong Kong including our independent auditor. After we filed our annual report on Form 20-F for the fiscal year ended December 31, 2021, on April 28, 2022, the SEC conclusively identified us as an SEC-identified issuer on May 26, 2022.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Statement of Protocol signed between the PCAOB and the CSRC and the MOF in August 2022 and the on-site inspections and investigations conducted by the PCAOB staff in Hong Kong from September to November 2022, the PCAOB Board voted in December 2022 to vacate the previous 2021 determinations, and as a result, our auditor is no longer a registered public accounting firm that the PCAOB is unable to inspect or investigate completely as of the date of this annual report on Form 20-F or at the time of issuance of the audit report included herein. As such, we have not been identified as an SEC-identified issuer under the HFCA Act after we filed the annual reports on Form 20-F since 2023, and we do not expect to be identified as an SEC-identified issuer again in 2025. 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would be identified as an SEC-identified issuer following the filing of the annual report on Form 20-F for the relevant fiscal year. We cannot assure you that the PCAOB will always have complete access to inspect and investigate our auditor, or that we will not be identified as an SEC-identified issuer again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we are identified as an SEC-identified issuer again in the future, we cannot assure you that we will be able to change our auditor or take other remedial measures in a timely manner, and if we were to be identified as an SEC-identified issuer for two consecutive years, we would be delisted from the NYSE and our securities (including our shares and ADSs) will not be permitted for trading “over-the-counter” either. Although our Class A ordinary shares have been listed on the Hong Kong Stock Exchange and the ADSs and Class A ordinary shares are fully fungible, we cannot assure you that an active trading market for our Class A ordinary shares on the Hong Kong Stock Exchange will be sustained or that the ADSs can be converted and traded with sufficient market recognition and liquidity, if our shares and ADSs are prohibited from trading in the United States. Such a prohibition or any threat thereof would substantially impair your ability to sell or purchase our ADSs when you wish to do so, and the risk and uncertainty associated with delisting would have a negative impact on the price of our ADSs. Also, such a prohibition or any threat thereof would significantly affect our ability to raise capital on terms acceptable to us, or at all, which would have a material adverse impact on our business, financial condition, and prospects. Moreover, the implementation of the HFCA Act and other efforts to increase the U.S. regulatory access to audit information could cause investor uncertainty as to China-based issuers’ ability to maintain their listings on the U.S. national securities exchanges and the market price of the securities of China-based issuers, including us,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PRC regulations establish procedures for acquisitions conducted by foreign investors that could make it more difficult for us to grow through acquisitions. </w:t>
      </w:r>
    </w:p>
    <w:p>
      <w:pPr>
        <w:pStyle w:val="TextBody"/>
        <w:bidi w:val="0"/>
        <w:spacing w:before="120" w:after="0"/>
        <w:jc w:val="left"/>
        <w:rPr>
          <w:rFonts w:ascii="Times New Roman" w:hAnsi="Times New Roman"/>
          <w:sz w:val="20"/>
        </w:rPr>
      </w:pPr>
      <w:r>
        <w:rPr>
          <w:rFonts w:ascii="Times New Roman" w:hAnsi="Times New Roman"/>
          <w:sz w:val="20"/>
        </w:rPr>
        <w:t xml:space="preserve">Certain PRC regulations established additional procedures and requirements that are expected to make merger and acquisition activities in China by foreign investors more time-consuming and complex. For example, the Regulations on Mergers and Acquisitions of Domestic Enterprises by Foreign Investors, or the M&amp;A Rules, require that the MOFCOM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The approval from the MOFCOM shall be obtained in circumstances where overseas companies established or controlled by PRC enterprises or residents acquire affiliated domestic companies. Mergers, acquisitions or contractual arrangements that allow one market player to take control of or to exert decisive impact on another market player must also be notified in advance to the anti-monopoly authority under the State Council when the threshold under the Provisions on Thresholds for Prior Notification of Concentrations of Undertakings, or the Prior Notification Rules, issued by the State Council in January 2024, is triggered. Furthermore, as required by the Measures for the Security Review of Foreign Investment, promulgated by the NDRC and the MOFCOM on December 19, 2020 and effective as of January 18, 2021,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governmental authorities in advance. We may grow our business in part by acquiring other companies operating in our industry. Complying with the requirements of the new regulations to complete such transactions could be time-consuming, and any required approval processes, including approval from the MOFCOM, may delay or inhibit our ability to complete such transactions, which could affect our ability to expand our business or maintain our market share. See “Item 4. Information on the Company—B. Business Overview—Regulation—Regulations on M&amp;A Rules and Overseas Listings.”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 </w:t>
      </w:r>
    </w:p>
    <w:p>
      <w:pPr>
        <w:pStyle w:val="TextBody"/>
        <w:bidi w:val="0"/>
        <w:spacing w:before="120" w:after="0"/>
        <w:jc w:val="left"/>
        <w:rPr>
          <w:rFonts w:ascii="Times New Roman" w:hAnsi="Times New Roman"/>
          <w:sz w:val="20"/>
        </w:rPr>
      </w:pPr>
      <w:r>
        <w:rPr>
          <w:rFonts w:ascii="Times New Roman" w:hAnsi="Times New Roman"/>
          <w:sz w:val="20"/>
        </w:rPr>
        <w:t xml:space="preserve">PRC residents are subject to restrictions and filing requirements when investing in offshore companies. 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be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additional capital to our PRC subsidiaries and limit our PRC subsidiaries’ ability to distribute dividends to our company. These risks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labor costs and enforcement of stricter labor laws and regulations in China may adversely affect our business and our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our customers, our profitability and results of operations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any of our employees or otherwise change our employment or labor practices, the PRC Labor Contract Law and its implementation rules may limit our ability to do so or effect those changes in a desirable or cost-effective manner, which could adversely affect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the interpretation and implementation of labor-related laws and regulations in China are still evolving, our employment practices may inadvertently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to comply with PRC regulations regarding our employee share incentive plan may subject the PRC plan participants or us to fines and other legal or administrative sanctions.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SAFE Circular 37, PRC residents who participate in share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before they obtain the incentive shares or exercise the share options. Our directors, executive officers and other employees who are PRC residents and who have been granted options may follow SAFE Circular 37 to apply for the foreign exchange registration before our company becomes an overseas listed company. As an overseas listed company, we and our directors, executive officers and other employees who are PRC residents and who have been granted options are subject to the Notice on Issues Concerning the Foreign Exchange Administration for Domestic Individuals Participating in Stock Incentive Plan of Overseas Publicly Listed Company, issued by SAFE in February 2012, according to which, employees, directors, supervisors and other management members participating in any stock incentive plan of an overseas publicly listed company who are PRC residents are required to register with SAFE through a domestic qualified agent, which could be a PRC subsidiary of such overseas listed company, and complete certain other procedures. We have made efforts to comply with these requirements. However, there can be no assurance that they can successfully register with SAFE in full compliance with the rules. Failure to complete the SAFE registrations may subject them to fines and legal sanctions and may also limit the ability to make payment under our share incentive plan or receive dividends or sales proceeds related thereto, or our ability to contribute additional capital into our wholly-foreign owned enterprise in China and limit our wholly-foreign owned enterprise’s ability to distribute dividends to us. We also face regulatory uncertainties that could restrict our ability to adopt additional share incentive plans for our directors and employees under PRC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to a significant extent on dividends and other distributions on equity paid by our principal operating subsidiaries and service fees paid by the Group VIEs to fund offshore cash and financing requirements. Any limitation on the ability of our PRC operating subsidiaries to make payments to us could have a material adverse effect on our ability to conduct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XPeng Inc. is a holding company with no material operations of its own. We conduct our operations in China (i) primarily through our PRC subsidiaries, and (ii) to a much lesser extent, the Group VIEs. As a result, although other means are available for us to obtain financing at the holding company level, we rely to a significant extent on dividends and other distributions on equity paid by our principal operating subsidiaries and service fees paid by the Group VIEs, for our offshore cash and financing requirements, including the funds necessary to pay dividends and other cash distributions to our shareholders, fund inter-company loans, service any debt we may incur outside of China and pay our expenses. When our principal operating subsidiaries incur additional debt, the instruments governing the debt may restrict their ability to pay dividends or make other distributions or remittances to us.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laws, rules and regulations applicable to our PRC subsidiaries and certain other subsidiaries permit payments of dividends only out of their retained earnings, if any, determined in accordance with applicable accounting standards and regulations. Under PRC laws, rules and regulations, each of our subsidiaries incorporated in China is required to set aside at least 10% of its net income each year to fund certain statutory reserves until the cumulative amount of such reserves reaches 50% of its registered capital. These reserves, together with the registered capital, are not distributable as cash dividends. After setting aside the statutory reserve from after-tax profits, PRC subsidiaries may allocate discretionary reserves from after-tax profits upon resolution by the shareholders’ meeting. As a result of these laws, rules and regulations, our subsidiaries incorporated in China are restricted in their ability to transfer a portion of their respective net assets to their shareholders as dividends, loans or advances. Certain of our subsidiaries did not have any retained earnings available for distribution in the form of dividends as of December 31, 2025. In addition, registered capital and capital reserve accounts are also restricted from withdrawal in the PRC, up to the amount of net assets held in each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PRC Enterprise Income Tax Law and its implementing rules impose a withholding income tax as much as 10% on dividends distributed by a foreign invested enterprise to its immediate holding company outside of China, unless such income tax is reduced under treaties or arrangements between the PRC central government and governments of other countries or regions where the non-PRC resident enterprise is a tax resident. The undistributed earnings that are subject to dividend tax are expected to be indefinitely reinvested for the foreseeable future. Furthermore, we are subject to restrictions on currency exchange. See “—We are subject to restrictions on currency exchange.” </w:t>
      </w:r>
    </w:p>
    <w:p>
      <w:pPr>
        <w:pStyle w:val="TextBody"/>
        <w:bidi w:val="0"/>
        <w:spacing w:before="240" w:after="0"/>
        <w:jc w:val="left"/>
        <w:rPr>
          <w:rFonts w:ascii="Times New Roman" w:hAnsi="Times New Roman"/>
          <w:sz w:val="20"/>
        </w:rPr>
      </w:pPr>
      <w:r>
        <w:rPr>
          <w:rFonts w:ascii="Times New Roman" w:hAnsi="Times New Roman"/>
          <w:sz w:val="20"/>
        </w:rPr>
        <w:t xml:space="preserve">The Group currently has four Group VIEs and cash flow from such Group VIEs is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treated as a resident enterprise for PRC tax purposes under the PRC Enterprise Income Tax Law, and we may therefore be subject to PRC income tax on our global income.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substantial and overall management and control over the production and operations, personnel, accounting and assets of an enterprise. The State Administration of Taxation issued the Notice Regarding the Determination of Chinese-Controlled Offshore-Incorporated Enterprises as PRC Tax Resident Enterprises on the Basis of De Facto Management Bodies, or Circular 82, on April 22, 2009, which was most recently amended on December 29, 2017. Circular 82 provides certain specific criteria for determining whether the “de facto management body” of a Chinese-controlled offshore-incorporated enterprise is located in China. Although Circular 82 only applies to offshore enterprises controlled by PRC enterprises, not those controlled by foreign enterprises or individuals,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paid to our foreign investors and gains on the sale of the ADSs or Class A ordinary shares by our foreign investors may become subject to PRC tax. </w:t>
      </w:r>
    </w:p>
    <w:p>
      <w:pPr>
        <w:pStyle w:val="TextBody"/>
        <w:bidi w:val="0"/>
        <w:spacing w:before="120" w:after="0"/>
        <w:jc w:val="left"/>
        <w:rPr>
          <w:rFonts w:ascii="Times New Roman" w:hAnsi="Times New Roman"/>
          <w:sz w:val="20"/>
        </w:rPr>
      </w:pPr>
      <w:r>
        <w:rPr>
          <w:rFonts w:ascii="Times New Roman" w:hAnsi="Times New Roman"/>
          <w:sz w:val="20"/>
        </w:rPr>
        <w:t xml:space="preserve">Under the Enterprise Income Tax Law and its implementation regulations issued by the State Council, a 10% PRC withholding tax is applicable to dividends paid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Any gain realized on the transfer of ADSs or Class A ordinary shares by such investors is also subject to PRC tax at a current rate of 10%, if such gain is regarded as income derived from sources within the PRC. If we are deemed a PRC resident enterprise, dividends paid on our Class A ordinary shares or ADSs, and any gain realized from the transfer of our Class A ordinary shares or ADSs, would be treated as income derived from sources within the PRC and would as a result be subject to PRC taxation. Furthermore, if we are deemed a PRC resident enterprise, dividends paid to individual investors who are non-PRC residents and any gain realized on the transfer of ADSs or Class A ordinary shares by such investors may be subject to PRC tax (which in the case of dividends may be withheld at source) at a rate of 20%. Any PRC tax liability may be reduced by an applicable tax treaty. However, if we or any of our subsidiaries established outside China are considered a PRC resident enterprise, it is unclear whether holders of the ADSs or Class A ordinary shares would be able to claim the benefit of income tax treaties or agreements entered into between China and other countries or areas. If dividends paid to our non-PRC investors, or gains from the transfer of the ADSs or Class A ordinary shares by such investors, are deemed as income derived from sources within the PRC and thus are subject to PRC tax, the value of your investment in the ADSs or Class A ordinary shares may decline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retain most, if not all, of our available funds and any future earnings to fund the development and growth of our business. As a result, we do not expect to declare any dividends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and our shareholders face uncertainties with respect to indirect transfers of equity interests in PRC resident enterprises or other assets attributed to a Chinese establishment of a non-Chinese company, or immovable properties located in China owned by non-Chinese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3, 2015, the State Administration of Taxation issued the Bulletin on Issues of Enterprise Income Tax on Indirect Transfers of Assets by Non-PRC Resident Enterprises, as amended in December 2017, or Bulletin 7. Pursuant to this Bulletin 7,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State Administration of Taxation promulgated the Announcement of the State Administration of Taxation on Issues Concerning the Withholding of Non-resident Enterprise Income Tax at Source, or SAT Circular 37, which became effective on December 1, 2017 and was most recently amended on June 15, 2018. SAT Circular 37, among other things, simplified procedures of withholding and payment of income tax levied on non-resident enterprises. </w:t>
      </w:r>
    </w:p>
    <w:p>
      <w:pPr>
        <w:pStyle w:val="TextBody"/>
        <w:bidi w:val="0"/>
        <w:spacing w:before="240" w:after="0"/>
        <w:jc w:val="left"/>
        <w:rPr>
          <w:rFonts w:ascii="Times New Roman" w:hAnsi="Times New Roman"/>
          <w:sz w:val="20"/>
        </w:rPr>
      </w:pPr>
      <w:r>
        <w:rPr>
          <w:rFonts w:ascii="Times New Roman" w:hAnsi="Times New Roman"/>
          <w:sz w:val="20"/>
        </w:rPr>
        <w:t xml:space="preserve">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and SAT Circular 37. For transfer of shares in our company by investors that are non-PRC resident enterprises, our PRC subsidiaries may be requested to assist in the filing under Bulletin 7 and SAT Circular 37. As a result, we may be required to expend valuable resources to comply with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restrictions on currency exchange. </w:t>
      </w:r>
    </w:p>
    <w:p>
      <w:pPr>
        <w:pStyle w:val="TextBody"/>
        <w:bidi w:val="0"/>
        <w:spacing w:before="120" w:after="0"/>
        <w:jc w:val="left"/>
        <w:rPr>
          <w:rFonts w:ascii="Times New Roman" w:hAnsi="Times New Roman"/>
          <w:sz w:val="20"/>
        </w:rPr>
      </w:pPr>
      <w:r>
        <w:rPr>
          <w:rFonts w:ascii="Times New Roman" w:hAnsi="Times New Roman"/>
          <w:sz w:val="20"/>
        </w:rPr>
        <w:t xml:space="preserve">Our revenues are primarily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PRC subsidiaries. Currently, our PRC subsidiaries may purchase foreign currency for settlement of “current account transactions,” including payment of dividends to us,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our future revenues and cash flow will be primarily denominated in Renminbi, any existing and future restrictions on currency exchange may limit our ability to utilize cash generated in Renminbi to fund our business activities outside of the PRC or pay dividends in foreign currencies to our shareholders, including holders of the Class A ordinary shares and/or ADSs, and may limit our ability to obtain foreign currency through debt or equity financing for our onshore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PRC regulation of loans to, and direct investment in, PRC entities by offshore holding companies and governmental control of currency conversion may restrict or prevent us from using the proceeds of our offshore offerings to make loans or additional capital contributions to our PRC subsidiaries. </w:t>
      </w:r>
    </w:p>
    <w:p>
      <w:pPr>
        <w:pStyle w:val="TextBody"/>
        <w:bidi w:val="0"/>
        <w:spacing w:before="120" w:after="0"/>
        <w:jc w:val="left"/>
        <w:rPr>
          <w:rFonts w:ascii="Times New Roman" w:hAnsi="Times New Roman"/>
          <w:sz w:val="20"/>
        </w:rPr>
      </w:pPr>
      <w:r>
        <w:rPr>
          <w:rFonts w:ascii="Times New Roman" w:hAnsi="Times New Roman"/>
          <w:sz w:val="20"/>
        </w:rPr>
        <w:t xml:space="preserve">In utilizing the proceeds from our initial public offering in the U.S. and our follow-on public offering completed in December 2020, 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are subject to the requirement of making necessary registration with competent governmental authorities in China. </w:t>
      </w:r>
    </w:p>
    <w:p>
      <w:pPr>
        <w:pStyle w:val="TextBody"/>
        <w:bidi w:val="0"/>
        <w:spacing w:before="240" w:after="0"/>
        <w:jc w:val="left"/>
        <w:rPr>
          <w:rFonts w:ascii="Times New Roman" w:hAnsi="Times New Roman"/>
          <w:sz w:val="20"/>
        </w:rPr>
      </w:pPr>
      <w:r>
        <w:rPr>
          <w:rFonts w:ascii="Times New Roman" w:hAnsi="Times New Roman"/>
          <w:sz w:val="20"/>
        </w:rPr>
        <w:t xml:space="preserve">SAFE promulgated the Notice of the State Administration of Foreign Exchange on Reforming the Administration of Foreign Exchange Settlement of Capital of Foreign-invested Enterprises, or Circular 19, effective on June 1, 2015, which was amended on December 30, 2019. According to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Circular 19 allows RMB capital converted from foreign currency-denominated registered capital of a foreign-invested enterprise to be used for equity investments within the PRC,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subsequently issued several circulars in the following years to provide additional guidelines on the use by foreign-invested entities of the income under their capital accounts generated from their capital, foreign debt and overseas listing. However, the interpretation and enforcement of SAFE Circular 19 and other circulars remain subject to uncertainty and potential future policy changes from the SAFE.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or future capital contributions by us to our PRC subsidiaries. As a result, uncertainties exist as to our ability to provide prompt financial support to our PRC subsidiaries when needed. If we fail to complete such registrations or obtain such approvals, our ability to use foreign currency, including the proceeds we received from the initial public offering in the U.S. and the follow-on public offering, and to capitalize or otherwise fund our PRC operations may be negatively affected, which could materially and adversely affect our liquidity and our ability to fund and expand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exchange rates could result in foreign currency exchange losses and could materially reduce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Renminbi against the U.S. dollar and other currencies may fluctuate and is affected by, among other things, changes in political, economic and social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This depreciation halted in 2017, and the Renminbi appreciated approximately 7% against the U.S. dollar during this one-year period. Starting from the beginning of 2019, the Renminbi has depreciated significantly against the U.S. dollar again. In early August 2019, the PBOC set the Renminbi’s daily reference rate at RMB7.0039 to US$1.00, the first time that the exchange rate of Renminbi to U.S. dollar exceeded 7.0 since 2008.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revenues and costs are primarily denominated in Renminbi.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 proceeds we received from our PRC-offshore financing activities into Renminbi for the Group’s operations, appreciation of the Renminbi against the U.S. dollar would have an adverse effect on the Renminbi amount we would receive.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ability of U.S. authorities to bring actions for violations of U.S. securities law and regulations against us, our directors, executive officers or the expert named in this annual report may be limited. Therefore, you may not be afforded the same protection as provided to investors in U.S. domestic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SEC, the U.S. Department of Justice, or the DOJ, and other U.S. authorities often have substantial difficulties in bringing and enforcing actions against non-U.S. companies such as us, and non-U.S. persons, such as our directors and executive officers in China. Due to jurisdictional limitations, matters of comity and various other factors, the SEC, the DOJ and other U.S. authorities may be limited in their ability to pursue bad actors, including in instances of fraud, in emerging markets such as China. The Group’s operations are mainly conducted in China and the Group’s assets are mainly located in China. In addition, a majority of our directors and executive officers reside within China. There may be significant legal and other obstacles for U.S. authorities to obtain information needed for investigations or litigation against us or our directors, executive officers or other gatekeepers in case we or any of these individuals engage in fraud or other wrongdoing. In addition, local authorities in China may be constrained in their ability to assist U.S. authorities and overseas investors in connection with legal proceedings. As a result, if we, our directors, executive officers or other gatekeepers commit any securities law violation, fraud or other financial misconduct, the U.S. authorities may not be able to conduct effective investigations or bring and enforce actions against us, our directors, executive officers or other gatekeepers. Therefore, you may not be able to enjoy the same protection provided by various U.S. authorities as it is provided to investors in U.S. domestic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difficulties in effecting service of legal process, enforcing foreign judgments or bringing original actions in China, based on United States or other foreign laws, against us, our directors, executive officers or the expert named in this annual report. Therefore, you may not be able to enjoy the protection of such laws in an effective manner. </w:t>
      </w:r>
    </w:p>
    <w:p>
      <w:pPr>
        <w:pStyle w:val="TextBody"/>
        <w:bidi w:val="0"/>
        <w:spacing w:before="120" w:after="0"/>
        <w:jc w:val="left"/>
        <w:rPr>
          <w:rFonts w:ascii="Times New Roman" w:hAnsi="Times New Roman"/>
          <w:sz w:val="20"/>
        </w:rPr>
      </w:pPr>
      <w:r>
        <w:rPr>
          <w:rFonts w:ascii="Times New Roman" w:hAnsi="Times New Roman"/>
          <w:sz w:val="20"/>
        </w:rPr>
        <w:t xml:space="preserve">The Group conducts its operations mainly in China, and its assets are mainly located in China. In addition, a majority of our directors and executive officers reside within China. As a result, it may not be possible to effect service of process within the United States or elsewhere outside China upon us, our directors and executive officers, including with respect to matters arising under U.S. federal securities laws or applicable state securities laws. Even if you obtain a judgment against us, our directors, executive officers or the expert named in this annual report in a U.S. court or other court outside China, you may not be able to enforce such judgment against us or them in China. China does not have treaties providing for the reciprocal recognition and enforcement of judgments of courts in the United States, the United Kingdom, Japan or most other western countries. Therefore, recognition and enforcement in China of judgments of a court in any of these jurisdictions may be difficult or impossible. In addition, you may not be able to bring original actions in China based on the U.S. or other foreign laws against us, our directors, executive officers or the expert named in this annual report. As a result, shareholder claims that are common in the U.S., including class actions based on securities law and fraud claims, are difficult or impossible to pursue as a matter of law and practicality in China. For example, in China, there may be significant legal and other obstacles to obtaining information needed for shareholder investigations or litigation outside China or otherwise with respect to foreign entities. According to Article 177 of the PRC Securities Law which became effective in March 2020, no overseas securities regulator is allowed to directly conduct investigation or evidence collection activities within the territory of the PRC. In addition, on February 24,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PRC domestic company concerning overseas offering and listing, or to inspect, investigate, or collect evidence from the PRC domestic securities companies and securities service providers that undertake relevant businesses for such PRC domestic companies, such inspection, investigation and evidence collection shall be conducted under a cross-border regulatory cooperation mechanism, and the CSRC or other competent Chinese authorities will provide necessary assistance pursuant to bilateral and multilateral cooperation mechanisms. The PRC domestic company,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the consent of the competent PRC securities regulators and relevant authorities, no organization or individual may provide the documents and materials relating to securities business activities to overseas parties. As such, the inability for an overseas securities regulator to directly conduct investigation or evidence collection activities within China may further increase difficulties faced by investors in protecting your interests. If an investor is unable to bring a U.S. claim or collect on a U.S. judgment, the investor may have to rely on legal claims and remedies available in China or other overseas jurisdictions where a China-based issuer, such as our company, may maintain assets. The claims and remedies available in these jurisdictions are often significantly different from those available in the United States and difficult to pursue. Therefore, you may not be able to effectively enjoy the protection offered by the U.S. laws and regulations that are intended to protect public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 and there can be no assurance that such legal action in Hong Kong would be resolved in favor of the judgment debtor.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remedial measures could be imposed on certain PRC-based accounting firms, including our independent registered public accounting firm, in administrative proceedings instituted by the SEC, as a result of which our financial statements may be determined to not be in compliance with the requirements of the Exchange Act, if at all.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2012, the SEC brought administrative proceedings against the PRC-based “big four” accounting firms, including the auditors of our audit report in this annual report, alleging that they had violated U.S. securities laws by failing to provide audit work papers and other documents related to certain other PRC-based companies under investigation by the SEC. On January 22, 2014, an initial administrative law decision was issued, censuring and suspending these accounting firms from practicing before the SEC for a period of six months. The decision was neither final nor legally effective until reviewed and approved by the SEC, and on February 12, 2014, the PRC-based accounting firms appealed to the SEC against this decision. In February 2015, each of the four PRC-based accounting firms agreed to a censure and to pay a fine to the SEC to settle the dispute and avoid suspension of their ability to practice before the SEC. The settlement required the firms to follow detailed procedures to seek to provide the SEC with access to such firms’ audit documents via the CSRC. If the firms did not follow these procedures or if there is a failure in the process between the SEC and the CSRC, the SEC could impose penalties such as suspensions, or it could restart the administrative proceedings. Under the terms of the settlement, the underlying proceeding against the four PRC-based accounting firms was deemed dismissed with prejudice for four years after entry of the settlement. The four-year mark occurred on February 6,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HFCA Act, the PCAOB issued a report on December 16, 2021 notifying the SEC of its determination that it is unable to inspect or investigate completely accounting firms headquartered in Chinese Mainland or Hong Kong, including the four PRC-based accounting firms. Although the PCAOB Board voted in December 2022 to vacate its previous determination following the Statement of Protocol signed between the PCAOB and the CSRC and the MOF in August 2022 and the on-site inspections and investigations conducted by the PCAOB staff in Hong Kong, we cannot assure you that the PCAOB will always have complete access to inspect and investigate the four PRC-based accounting firms. See “—If the PCAOB determines that it is unable to inspect or investigate completely our auditor at any point in the future for two consecutive years,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In the event that the PRC-based “big four” accounting firms become subject to additional legal challenges by the SEC or PCAOB, depending upon the final outcome, listed companies in the U.S.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Class A ordinary shares and/or our ADSs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If the auditors of our audit report in this annual report as an independent registered public accounting firm were denied, even temporarily, the ability to practice before the SEC and we were unable to timely find another registered public accounting firm to audit and issue an opinion on the Group’s consolidated financial statements, the Group’s consolidated financial statements could be determined not to be in compliance with the requirements of the Exchange Act. Such a determination could ultimately lead to delisting of the ADSs from the NYSE or deregistration from the SEC, or both, which would substantially reduce or effectively terminate the trading of the ADSs in the 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Corporate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contributions from the Group VIEs have not been and are not expected in the foreseeable future to be material. Nonetheless, if the PRC government deems that the contractual arrangements in relation to the Group VIEs do not comply with PRC regulatory restrictions on foreign investment in the relevant industries, or if these regulations or the interpretation of existing regulations change in the future, our Class A ordinary shares and ADSs may decline in value if we are unable to assert our contractual control rights over the assets of the Group VIEs. </w:t>
      </w:r>
    </w:p>
    <w:p>
      <w:pPr>
        <w:pStyle w:val="TextBody"/>
        <w:bidi w:val="0"/>
        <w:spacing w:before="120" w:after="0"/>
        <w:jc w:val="left"/>
        <w:rPr>
          <w:rFonts w:ascii="Times New Roman" w:hAnsi="Times New Roman"/>
          <w:sz w:val="20"/>
        </w:rPr>
      </w:pPr>
      <w:r>
        <w:rPr>
          <w:rFonts w:ascii="Times New Roman" w:hAnsi="Times New Roman"/>
          <w:sz w:val="20"/>
        </w:rPr>
        <w:t xml:space="preserve">Because we are an exempted company incorporated in the Cayman Islands, we are classified as a foreign enterprise under PRC laws and regulations, and our PRC subsidiaries are foreign-invested enterprises, or FIEs. To comply with PRC laws and regulations, we set up a series of contractual arrangements entered into among some of our PRC subsidiaries, the Group VIEs and their shareholders to conduct some of our operations in China. For a detailed description of these contractual arrangements, see “Item 4. Information on the Company—C.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If our corporate structure and contractual arrangements are deemed by the relevant regulators having competent authority to be illegal, either in whole or in part, we may lose control of the Group VIEs and have to modify such structure and contractual arrangements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 </w:t>
      </w:r>
    </w:p>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revoking our relevant business and operating licenses; </w:t>
            </w:r>
          </w:p>
        </w:tc>
      </w:tr>
    </w:tbl>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75"/>
        <w:gridCol w:w="110"/>
        <w:gridCol w:w="60"/>
        <w:gridCol w:w="1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levying fines on us;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confiscating any of our income that they deem to be obtained through illegal operations;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shutting down our relevant services;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discontinuing or restricting the Group’s operations in China;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imposing conditions or requirements with which we may not be able to comply;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change our corporate structure and contractual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restricting or prohibiting our use of the proceeds from overseas offering to finance the Group VIEs’ business and operations; and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taking other regulatory or enforcement actions that could be harmful 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new PRC laws, rules and regulations may be introduced to impose additional requirements that may be applicable to our corporate structure and contractual arrangements. See “—Uncertainties exist with respect to the interpretation and implementation of the Foreign Investment Law and its implementing rules and how they may impact our business, financial condition and results of operations.” Occurrence of any of these events could materially and adversely affect our business, financial condition and results of operations. If the PRC government determines that these contractual arrangements do not comply with PRC regulations, or if these regulations change or are interpreted differently in the future, our Class A ordinary shares and ADSs may decline in value if we are unable to assert our contractual control rights over the assets of the Group VIEs. In addition, if the imposition of any of these penalties or requirement to restructure our corporate structure causes us to lose the rights to direct the activities of the Group VIEs or our right to receive their economic benefits, we would no longer be able to consolidate the financial results of such VIEs in our consolidated financial statements.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rely on contractual arrangements with the Group VIEs and their respective affiliate shareholders to operate certain businesses that do not have and are not expected in the foreseeable future to have material revenue contributions to the Group. Such contractual arrangements may not be as effective as direct ownership in providing operational control and otherwise have a material adverse effect as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contractual arrangements with the Group VIEs and their respective affiliate shareholders to operate the business in areas where foreign ownership is restricted or prohibited, including the value-added telecommunications business. For a description of these contractual arrangements, see “Item 4. Information on the Company—C. Organizational Structure—Contractual Arrangements with the Group VIEs and Their Shareholders.” These contractual arrangements may not be as effective as direct ownership in providing us with control over the Group VIEs. Investors in our ADSs and Class A ordinary shares are not purchasing equity interest in the Group’s operating entities in China, but instead are purchasing an equity interest in XPeng Inc., a Cayman Islands holding company. The Group VIEs do not represent a material percentage of the Group’s results of operations and the Group VIEs do not support material revenues reported within other subsidiaries of our company. The Group VIEs are consolidated with our results of operations for accounting purposes pursuant to U.S. GAAP (ASC 810). However, if the Group VIEs or the respective affiliate shareholders of the Group VIEs fail to perform their respective obligations under these contractual arrangements, we may have to incur substantial costs and expend additional resources to enforce such arrangements, and rely on legal remedies under PRC laws, including contractual remedies, which may not be sufficient or effective. All of these contractual arrangements are governed by PRC law and provide for the resolution of disputes through arbitration or court proceedings in the PRC. Accordingly, these contracts would be interpreted in accordance with PRC laws and any disputes would be resolved in accordance with PRC legal procedures. However, uncertainties regarding the interpretation and enforcement of the relevant PRC laws and regulations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In the event that we are unable to enforce these contractual arrangements, or if we suffer significant time delays or other obstacles in the process of enforcing these contractual arrangements, it would be very difficult to exert effective control over the Group VIEs, and our ability to conduct our business and our financial condition and results of operations may be materially and adversely affected. See “—Risks Relating to Doing Business in China—Changes and developments in the PRC legal system and the interpretation and enforcement of PRC laws, rules and regulations may subject us to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contractual arrangements with the Group VIEs may result in adverse tax consequences to us. </w:t>
      </w:r>
    </w:p>
    <w:p>
      <w:pPr>
        <w:pStyle w:val="TextBody"/>
        <w:bidi w:val="0"/>
        <w:spacing w:before="120" w:after="0"/>
        <w:jc w:val="left"/>
        <w:rPr>
          <w:rFonts w:ascii="Times New Roman" w:hAnsi="Times New Roman"/>
          <w:sz w:val="20"/>
        </w:rPr>
      </w:pPr>
      <w:r>
        <w:rPr>
          <w:rFonts w:ascii="Times New Roman" w:hAnsi="Times New Roman"/>
          <w:sz w:val="20"/>
        </w:rPr>
        <w:t xml:space="preserve">We could face material and adverse tax consequences if the PRC tax authorities determine that our contractual arrangements with the Group VIEs were not made on an arm’s length basis and adjust our income and expenses for PRC tax purposes by requiring a transfer pricing adjustment. A transfer pricing adjustment could adversely affect us by (i) increasing the tax liabilities of the Group VIEs without reducing the tax liability of our subsidiaries, which could further result in late payment fees and other penalties to the Group VIEs for underpaid taxes; or (ii) limiting the ability of the Group VIEs to obtain or maintain preferential tax treatments and other financial incentives.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exercise the option to acquire equity ownership of the Group VIEs, the ownership transfer may subject us to certain limitations and substantial costs.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contractual arrangements, to the extent allowed by PRC laws, rules and regulations, Xiaopeng Technology, Xiaopeng Smart Mobility, Xiaopeng Motors Sales, or their respective designated person, have the exclusive right to purchase all or any part of the equity interests in the relevant Group VIEs from their respective affiliate shareholders equal to the amount of the relevant registered capital contributed by the affiliate shareholders in the relevant Group VIEs. If such amount in each case is lower than the minimum price permitted by PRC law, the minimum price permitted by PRC law shall be the purchase price. Subject to relevant laws and regulations, the affiliate shareholders of the relevant Group VIEs shall return any amount of purchase price they have received to Xiaopeng Technology, Xiaopeng Smart Mobility or Xiaopeng Motors Sales. In September 2021, Xiaopeng Technology acquired 50% of equity interest in Zhipeng IoV from its individual shareholders, and Xiaopeng Smart Mobility acquired 50% of equity interest in Yidian Smart Mobility from its individual shareholders. As the transfer prices of such equity transfers might be subject to review and tax adjustment with reference to the market value by the relevant tax authorities, such authorities may require Xiaopeng Technology or Xiaopeng Smart Mobility to pay individual income taxes in the PRC on behalf of the individual shareholders for ownership transfer income with reference to the market value accordingly, in which case the amount of tax could be substantial.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affiliate shareholders of the Group VIEs may have conflicts of interest with us, which may materially and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rely on the affiliate shareholders of the Group VIEs to abide by the obligations under such contractual arrangements. Their interests as the affiliate shareholders of the Group VIEs may differ from the interests of our company as a whole, as what is in the best interests of the Group VIEs, including matters such as whether to distribute dividends or to make other distributions to fund our offshore requirements, may not be aligned with the best interests of our company. There can be no assurance that when conflicts of interest arise, any or all of these shareholders will act in the best interests of our company or those conflicts of interest will be resolved in our favor. In addition, these shareholders may breach or cause the Group VIEs and their subsidiaries to breach or refuse to renew the existing contractual arrangements with us. Control over, and funds due from, the Group VIEs may be jeopardized if such shareholders breach the terms of the contractual arrangements or are subject to legal proceedings.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have arrangements to address conflicts of interest the affiliate shareholders of the Group VIEs may encounter, on one hand, and as a beneficial owner of our company, on the other hand. We, however, could, at all times, exercise our option under the exclusive call option agreements to cause them to transfer all of their equity ownership in the Group VIEs to an entity or individual designated by us as permitted by the then applicable PRC laws. In addition, if such conflicts of interest arise, we could also, in the capacity of attorney-in-fact of the then existing affiliate shareholders of the Group VIEs as provided under the power of attorney agreements, directly appoint new directors of the Group VIEs. We rely on the affiliate shareholders of the Group VIEs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individual shareholders of the Group VIEs, we would have to rely on legal proceedings, which could result in disruption of our business and subject us to substantial uncertainty as to the outcome of any such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corporate actions will be substantially controlled by certain shareholders who will have the ability to control or exert significant influence over important corporate matters that require approval of shareholders, which may deprive you of an opportunity to receive a premium for the Class A ordinary shares and/or ADSs and materially reduce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current memorandum and articles of association provide that in respect of all matters subject to a shareholders’ vote, each Class A ordinary share is entitled to one vote and each Class B ordinary share is entitled to 10 votes, save that each Class A ordinary share and Class B ordinary share shall entitle its holder to one vote on a poll at a general meeting in respect of a resolution on any of the following matters: (a) any amendment to our memorandum or articles of association, including the variation of the rights attached to any class of shares; (b) the appointment, election or removal of any independent non-executive director; (c) the appointment or removal of our auditors; or (d) the voluntary liquidation or winding-up of us. As of March 31, 2026, Mr. Xiaopeng He, our co-founder and chairman beneficially owned all the Class B ordinary shares issued and outstanding, which represented 69.1% of the voting power of our total issued and outstanding shares. As a result, Mr. He has the ability to control or exert significant influence over important corporate matters to the extent permitted under the Hong Kong Listing Rules, and the memorandum and articles of association, and investors may be prevented from affecting important corporate matters involving our company that require approval of shareholders,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composition of our board of directors and, through it, any determinations with respect to the Group’s operations, business direction and policies, including the appointment and removal of officers;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determinations with respect to mergers or other business combinations;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disposition of substantially all of our assets; and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control.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actions may be taken even if they are opposed by our other shareholders, including the holders of the Class A ordinary shares and/or ADSs. Furthermore, this concentration of ownership may also discourage, delay or prevent a change in control of our company, which could have the dual effect of depriving our shareholders of an opportunity to receive a premium for their respective shares as part of a sale of our company and reducing the price of the Class A ordinary shares and/or ADSs. As a result of the foregoing, the value of your investment could be materially reduced.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structure of our share capital may render the Class A ordinary shares and/or ADSs ineligible for inclusion in certain stock market indices, and thus adversely affect the market price and liquidity of the Class A ordinary shares and/or ADSs. </w:t>
      </w:r>
    </w:p>
    <w:p>
      <w:pPr>
        <w:pStyle w:val="TextBody"/>
        <w:bidi w:val="0"/>
        <w:spacing w:before="120" w:after="0"/>
        <w:jc w:val="left"/>
        <w:rPr>
          <w:rFonts w:ascii="Times New Roman" w:hAnsi="Times New Roman"/>
          <w:sz w:val="20"/>
        </w:rPr>
      </w:pPr>
      <w:r>
        <w:rPr>
          <w:rFonts w:ascii="Times New Roman" w:hAnsi="Times New Roman"/>
          <w:sz w:val="20"/>
        </w:rPr>
        <w:t xml:space="preserve">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capital structure with more than one class of shares would make Class A ordinary shares and ADSs ineligible for inclusion in any of these indices, and as a result, mutual funds, exchange-traded funds and other investment vehicles that attempt to passively track these indices will not be investing in the ADSs and Class A ordinary shares. These policies are still relatively new and it is yet unclear what effect, if any, they have had and will have on the valuations of publicly traded companies excluded from the indices, but it is possible that they may depress these valuations compared to those of other similar companies that are included and may adversely affect the liquidity of the shares of such companies. As such, the exclusion of the Class A ordinary shares and/or ADSs from these indices could result in a less active trading market for the Class A ordinary shares and/or ADSs and adversely affect their trading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custodians or authorized users of our controlling intangible assets, including chops and seals, fail to fulfill their responsibilities, or misappropriate or misuse these assets, our business and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State Administration for Market Regulation, or the SAMR. We generally execute legal documents by affixing chops or seals, rather than having the designated legal representatives sign the documents. The chops of our subsidiaries and Group VIEs are generally held by the relevant entities so that documents can be executed locally. Although we usually utilize chops to execute contracts, the registered legal representatives of our subsidiaries and Group VIEs have the apparent authority to enter into contracts on behalf of such entities without chops, unless such contracts set forth otherwise. </w:t>
      </w:r>
    </w:p>
    <w:p>
      <w:pPr>
        <w:pStyle w:val="TextBody"/>
        <w:bidi w:val="0"/>
        <w:spacing w:before="240" w:after="0"/>
        <w:jc w:val="left"/>
        <w:rPr>
          <w:rFonts w:ascii="Times New Roman" w:hAnsi="Times New Roman"/>
          <w:sz w:val="20"/>
        </w:rPr>
      </w:pPr>
      <w:r>
        <w:rPr>
          <w:rFonts w:ascii="Times New Roman" w:hAnsi="Times New Roman"/>
          <w:sz w:val="20"/>
        </w:rPr>
        <w:t xml:space="preserve">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Group VIEs, the procedures may not be sufficient to prevent all instances of abuse or negligence. There is a risk that our key employees or designated legal representatives could abuse their authority, for example, by binding our subsidiaries and Group VIEs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exist with respect to the interpretation and implementation of the Foreign Investment Law and its implementing rules and how they may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VIE structure through contractual arrangements has been adopted by many PRC-based companies, including us, to obtain necessary licenses and permits in the industries that are currently subject to foreign investment restrictions in China. The MOFCOM published a discussion draft of the proposed Foreign Investment Law in January 2015, or the 2015 Draft FIL, according to which, variable interest entities that are controlled via contractual arrangements would also be deemed as foreign-invested entities, if they are ultimately “controlled” by foreign investors. In March 2019, the PRC National People’s Congress promulgated the Foreign Investment Law, and in December 2019, the State Council promulgated the Implementing Rules of Foreign Investment Law, or the Implementing Rules, to further clarify and elaborate the relevant provisions of the Foreign Investment Law. The Foreign Investment Law and the Implementing Rules both became effective from January 1, 2020 and replaced the major previous laws and regulations governing foreign investments in the PRC.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Foreign Investment Law and the Implementing Rules do not introduce the concept of “control” in determining whether a company would be considered as a foreign-invested enterprise, nor do they explicitly provide whether the VIE structure would be deemed as a method of foreign investment. However, the Foreign Investment Law has a catch-all provision that includes into the definition of “foreign investments” made by foreign investors in China in other methods as specified in laws, administrative regulations, or as stipulated by the State Council, and as the relevant government authorities may promulgate more laws, regulations or rules on the interpretation and implementation of the Foreign Investment Law, the possibility cannot be ruled out that the concept of “control” as stated in the 2015 Draft FIL may be embodied in, or the VIE structure adopted by us may be deemed as a method of foreign investment by, any of such future laws, regulations and rules. If any Group VIEs were deemed as a foreign-invested enterprise under any of such future laws, regulations and rules, and any of the businesses that we operate would be in any “negative list” for foreign investment and therefore be subject to any foreign investment restrictions or prohibitions, further actions required to be taken by us under such laws, regulations and rules may materially and adversely affect our business, financial condition and results of operations. 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Class A Ordinary Shares and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of our ADSs and Class A ordinary shares has been and is likely to continue to be volatile, which could result in substantial losses to you.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ADSs and Class A ordinary shares has been and is likely to continue to be volatile and could fluctuate widely in response to a variety of factors, many of which are beyond our control. The stock market in general, and the market for technology companies in particular, has experienced extreme price and volume fluctuations that have often been unrelated or disproportionate to the operating performance of those companies. In particular, the stock prices of other companies with business operations located mainly in China that have listed their securities in Hong Kong and/or the United States may affect the volatility in the prices of and trading volumes for our Class A ordinary shares and/or ADSs. The securities of some of these companies have experienced significant volatility since their initial public offerings, including, in some cases, substantial price declines in the trading prices of their securities. The trading performances of other Chinese companies’ securities, including technology companies, may affect the attitudes of investors toward Chinese companies listed in the U.S. and/or Hong Kong,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U.S., China and other jurisdictions in late 2008, early 2009, the second half of 2011, 2015 and the first quarter of 2020. In particular, concerns about the economic impact of the COVID-19 pandemic have triggered significant price fluctuations in the U.S. stock market. In addition, a portion of our ADSs may be traded by short sellers, which may further increase the volatility of the trading price of our ADSs. All these fluctuations and incidents may have a material and adverse effect on the trading price of our Class A ordinary shares and/or our ADSs.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factors, the price and trading volume of our Class A ordinary shares and/or our ADSs may be highly volatile due to multiple factors, including the following: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us or our industry;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studies and reports relating to the quality of our product offerings or those of our competitors;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economic performance or market valuations of other providers of electric vehicles;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quarterly results of operations and changes or revisions of our expected results;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securities research analysts;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conditions in the EV market in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 and service offerings, acquisitions, strategic relationships, joint ventures, capital raisings or capital commitments;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departures of our senior management;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the HFCA Act and future development in that regard;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exchange rates between the Renminbi, the Hong Kong dollar and the U.S. dollar;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release or expiry of lock-up or other transfer restrictions on our Class A ordinary shares or ADSs; and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or perceived potential sales of additional Class A ordinary shares or ADSs.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our ordinary shares on the Hong Kong Stock Exchange, our ADSs on the NYSE and/or our other securities might not be sustained and trading prices of our ordinary shares, ADSs and/or our other securities might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We cannot assure you that an active trading market for our Class A ordinary shares on the Hong Kong Stock Exchange will be sustained. In addition, we cannot assure you that an active trading market for our ADSs on the NYSE or for our other securities will be sustained. For example, investors may convert our ADSs into Class A ordinary shares listed in Hong Kong. If our investors convert a significant portion of our ADSs into Class A ordinary shares listed in Hong Kong or if such conversions happen suddenly or at a rapid pace, the price and liquidity of our ADSs could be severely impacted. The trading price or liquidity for our ADSs on the NYSE and the trading price or liquidity for our Class A ordinary shares on the Hong Kong Stock Exchange in the past might not be indicative of those of our ADSs on the NYSE and our Class A ordinary shares on the Hong Kong Stock Exchange in the future. In addition, legislation, executive orders and other regulatory actions, such as the HFCA Act and U.S. Executive Order 13959, may cause our ADSs to be delisted from the NYSE. See “—Risks Related to Doing Business in China—If the PCAOB determines that it is unable to inspect or investigate completely our auditor at any point in the future for two consecutive years, our ADSs may be prohibited from trading in the United States under the Holding Foreign Companies Accountable Act, as amended, or the HFCA Act, and any such trading prohibition on our ADSs or threat thereof may materially and adversely affect the price of our ADSs and value of your investment.” If an active trading market of our Class A ordinary shares on the Hong Kong Stock Exchange, our ADSs on the NYSE or our other securities is not sustained, the market price and liquidity of our Class A ordinary shares, our ADSs or our other securities, could be materially and adversely affected, and there may be difficulties in enforcing obligations with respect to our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meet our publicly announced guidance or other expectations about our business, which could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provide guidance regarding our expected financial and business performance. Correctly identifying key factors affecting business conditions and predicting future events is inherently an uncertain process, and our guidance may not ultimately be accurate in all respects. Our guidance is based on certain assumptions, such as those relating to anticipated production and sales volumes, average sales prices, supplier and commodity costs, and planned cost reductions. If our guidance varies from actual results, the market value of our Class A ordinary shares and/or ADSs could decline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the market price for our Class A ordinary shares and/or ADSs and their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Class A ordinary shares and our ADSs may be influenced by the research and reports that securities or industry analysts publish about us or our business. If research analysts do not establish and maintain adequate research coverage or if one or more of the analysts who covers us downgrades our Class A ordinary shares and/or ADSs or publishes inaccurate or unfavorable research about our business, the market price for our Class A ordinary shares and/or ADSs would likely decline. If one or more of these analysts cease coverage of our company or fail to publish reports on us regularly, we could lose visibility in the financial markets, which, in turn, could cause the market price or trading volume for our Class A ordinary shares and/or ADSs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expect to pay cash dividends in the foreseeable future, you may not receive any return on your investment unless you sell your Class A ordinary shares or ADSs for a price greater than that which you paid for them.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most, if not all, of our available funds and any future earnings to fund the development and growth of our business. As a result, we do not expect to pay any cash dividends in the foreseeable future. See “Item 8. Financial Information—A. Consolidated Statements and Other Financial Information—Dividend Policy.” Therefore, you should not rely on an investment in our Class A ordinary shares and ADSs as a source for any future dividend income.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Class A ordinary shares and/or ADSs will likely depend entirely upon any future price appreciation of the ADSs. There is no guarantee that our Class A ordinary shares and/or ADSs will appreciate in value in the future or even maintain the price at which you purchased our Class A ordinary shares and/or ADSs. You may not realize a return on your investment in the Class A ordinary shares and/or ADSs and you may even lose your entire investment in the Class A ordinary shares and/or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Substantial future sales or perceived potential sales of our Class A ordinary shares and/or ADSs in the public market could cause the price of our Class A ordinary shares and/or ADSs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our Class A ordinary shares and/or ADSs in the public market, or the perception that these sales could occur, could cause the market price of our Class A ordinary shares and ADSs to decline significantly. As of March 31, 2026, we had 1,562,950,344 Class A ordinary shares and 348,708,257 Class B ordinary shares issued and outstanding, excluding 2,195,880 Class A ordinary shares issued to our depositary bank for bulk issuance of ADSs and reserved for future issuance upon the exercise or vesting of awards granted under our 2019 Plan and 2025 Scheme. All ADSs representing our Class A ordinary shares sold in our initial public offering in the U.S. and follow-on public offerings are freely transferable by persons other than our “affiliates” without restriction or additional registration under the U.S. Securities Act of 1933, as amended, or the Securities Act. All of the other ordinary shares outstanding are available for sale, subject to volume and other restrictions as applicable under Rule 144 and Rule 701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shareholders have the right to cause us to register the sale of their ordinary shares under the Securities Act upon occurrence of certain circumstances. Registration of these shares under the Securities Act would result in ADSs representing these shares becoming freely tradable without restriction under the Securities Act immediately upon the effectiveness of the registration. Sales of ADSs representing these registered shares in the public market could cause the price of our Class A ordinary shares and/or ADSs to decline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our ADSs may have fewer rights than holders of our Class A ordinary shares and must act through the depositary to exercise those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ADSs do not have the same rights of our shareholders and may only exercise the voting rights with respect to the underlying Class A ordinary shares in accordance with the provisions of the Deposit Agreement. Under our current memorandum and articles of association, the minimum notice period required to convene an annual general meeting will be 21 days and an extraordinary general meeting will be 14 days. </w:t>
      </w:r>
    </w:p>
    <w:p>
      <w:pPr>
        <w:pStyle w:val="TextBody"/>
        <w:bidi w:val="0"/>
        <w:spacing w:before="240" w:after="0"/>
        <w:jc w:val="left"/>
        <w:rPr>
          <w:rFonts w:ascii="Times New Roman" w:hAnsi="Times New Roman"/>
          <w:sz w:val="20"/>
        </w:rPr>
      </w:pPr>
      <w:r>
        <w:rPr>
          <w:rFonts w:ascii="Times New Roman" w:hAnsi="Times New Roman"/>
          <w:sz w:val="20"/>
        </w:rPr>
        <w:t xml:space="preserve">When a general meeting is convened, the holders of ADSs may not receive sufficient notice of a shareholders’ meeting to permit the withdrawal of the underlying Class A ordinary shares represented by their ADSs to allow them to cast their votes as a shareholder with respect to any specific matter. In addition, the depositary and its agents may not be able to send voting materials to holders of ADSs or carry out the voting instructions of the holders of ADSs in a timely manner. We will make all reasonable efforts to cause the depositary to extend voting rights to holders of ADSs in a timely manner, but there can be no assurance that holders of ADSs will receive the voting materials in time to ensure that they can instruct the depositary to vote their ADSs. Furthermore, the depositary and its agents will not be responsible for any failure to carry out any instructions to vote, for the manner in which any vote is cast or for the effect of any such vote. As a result, holders of ADSs may not be able to exercise their right to vote and may lack recourse if the underlying Class A ordinary shares represented by their ADSs are not voted as they requested. In addition, holders of ADSs will not be able to call a shareholders’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Except in limited circumstances, the depositary for our ADSs will give us a discretionary proxy to vote the Class A ordinary shares underlying the ADSs at shareholders’ meetings if holders of these ADSs do not give voting instructions to the depositary, which could adversely affect the interests of the holders of our Class A ordinary shares and/or ADSs. </w:t>
      </w:r>
    </w:p>
    <w:p>
      <w:pPr>
        <w:pStyle w:val="TextBody"/>
        <w:bidi w:val="0"/>
        <w:spacing w:before="120" w:after="0"/>
        <w:jc w:val="left"/>
        <w:rPr>
          <w:rFonts w:ascii="Times New Roman" w:hAnsi="Times New Roman"/>
          <w:sz w:val="20"/>
        </w:rPr>
      </w:pPr>
      <w:r>
        <w:rPr>
          <w:rFonts w:ascii="Times New Roman" w:hAnsi="Times New Roman"/>
          <w:sz w:val="20"/>
        </w:rPr>
        <w:t xml:space="preserve">Under the Deposit Agreement for the ADSs, if holders of ADSs do not vote, the depositary will, at our request, give us a discretionary proxy to vote the underlying Class A ordinary shares represented by their ADSs at shareholders’ meetings unless: </w:t>
      </w:r>
    </w:p>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instructed the depositary that we do not wish a discretionary proxy to be given;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informed the depositary that there is substantial opposition as to a matter to be voted on at the meeting;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matter to be voted on at the meeting would have an adverse impact on holders of ADSs; or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at the meeting is to be made on a show of hands.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effect of this discretionary proxy is that holders of ADSs cannot prevent our underlying Class A ordinary shares represented by their ADSs from being voted, except under the circumstances described above. This may make it more difficult for shareholders to influence the management of our Company. Holders of our Class A ordinary shares are not subject to this discretionary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rights of our ADS holders to pursue claims against the depositary as a holder of ADSs are limited by the terms of the Deposit Agreement and the Deposit Agreement may be amended or terminated without their consent. </w:t>
      </w:r>
    </w:p>
    <w:p>
      <w:pPr>
        <w:pStyle w:val="TextBody"/>
        <w:bidi w:val="0"/>
        <w:spacing w:before="120" w:after="0"/>
        <w:jc w:val="left"/>
        <w:rPr>
          <w:rFonts w:ascii="Times New Roman" w:hAnsi="Times New Roman"/>
          <w:sz w:val="20"/>
        </w:rPr>
      </w:pPr>
      <w:r>
        <w:rPr>
          <w:rFonts w:ascii="Times New Roman" w:hAnsi="Times New Roman"/>
          <w:sz w:val="20"/>
        </w:rPr>
        <w:t xml:space="preserve">Under the Deposit Agreement, any action or proceeding against or involving the depositary, arising out of or based upon the Deposit Agreement or the transactions contemplated thereby or by virtue of owning the ADSs (including any such action or proceeding that may arise under the Securities Act or Exchange Act) may only be instituted in a state or federal court in New York, New York, and holders of our ADSs will have irrevocably waived any objection which they may have to the laying of venue of any such proceeding, and irrevocably submitted to the exclusive jurisdiction of such courts in any such action or proceeding. Also, we may amend or terminate the Deposit Agreement without the consent of holders of ADSs. If holders of ADSs continue to hold their ADSs after an amendment to the Deposit Agreement, they will be deemed to have agreed to be bound by the Deposit Agreement as amended, unless such amendment is found to be invalid under any applicable laws, including the federal securities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right of our ADS holders to participate in any future rights offerings may be limited, which may cause dilution to their holdings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holders of ADSs in the U.S. unless we register both the distribution and sale of the rights and the securities to which the rights relate under the Securities Act or an exemption from the registration requirements is available. Under the Deposit Agreement, the depositary will not make rights available to holders of ADSs unless both the distribution and sale of the rights and the underlying securities to be distributed to holders of ADSs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holders of ADSs may be unable to participate in our rights offerings in the future and may experience dilution in their 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our ADSs may not receive cash dividends or other distributions if the depositary determines it is illegal or impractical to make such cash dividends or other distributions available to them.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pay cash distribution on the ADSs only to the extent that we decide to distribute dividends on our Class A ordinary shares or other deposited securities, and we do not have any present plan to pay any cash dividends in the foreseeable future. See “Item 8. Financial Information—A. Consolidated Statements and Other Financial Information—Dividend Policy.” To the extent that there is a distribution, the depositary of the ADSs has agreed to pay to holders of ADSs the cash dividends or other distributions it or the custodian receives on our Class A ordinary shares or other deposited securities after deducting its fees and expenses. Holders of ADSs will receive these distributions in proportion to the number of Class A ordinary shares their ADSs represent. However, the depositary may, at its discretion, decide that it is illegal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and expect to continue to incur significant costs as a public company, which could lower our profits or make it more difficult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have incurred and expect to continue to incur significant legal, accounting and other expenses that we did not incur as a private company to ensure that we comply with the various requirements on corporate governance practices imposed by the Sarbanes-Oxley Act of 2002, rules subsequently implemented by the SEC and NYSE, as well as the applicable laws and regulations in Hong Kong (including the Hong Kong Listing Rules). </w:t>
      </w:r>
    </w:p>
    <w:p>
      <w:pPr>
        <w:pStyle w:val="TextBody"/>
        <w:bidi w:val="0"/>
        <w:spacing w:before="240" w:after="0"/>
        <w:jc w:val="left"/>
        <w:rPr>
          <w:rFonts w:ascii="Times New Roman" w:hAnsi="Times New Roman"/>
          <w:sz w:val="20"/>
        </w:rPr>
      </w:pPr>
      <w:r>
        <w:rPr>
          <w:rFonts w:ascii="Times New Roman" w:hAnsi="Times New Roman"/>
          <w:sz w:val="20"/>
        </w:rPr>
        <w:t xml:space="preserve">For example, as a result of becoming a public company, we have increased the number of independent directors and adopted policies regarding internal controls and disclosure controls and procedures. We have also incurred additional costs associated with our public company reporting requirements. We expect that these rules and regulations will continue to cause us to incur elevated legal and financial compliance costs, devote substantial management effort to ensure compliance and make some corporate activities more time-consuming and costly. We are currently evaluating and monitoring developments with respect to these rules and regulations, and we cannot predict or estimate with any degree of certainty the amount of additional costs we may incur or the timing of such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and certain of our directors and officers may be named as defendants in one or several shareholder class action lawsuits. </w:t>
      </w:r>
    </w:p>
    <w:p>
      <w:pPr>
        <w:pStyle w:val="TextBody"/>
        <w:bidi w:val="0"/>
        <w:spacing w:before="120" w:after="0"/>
        <w:jc w:val="left"/>
        <w:rPr>
          <w:rFonts w:ascii="Times New Roman" w:hAnsi="Times New Roman"/>
          <w:sz w:val="20"/>
        </w:rPr>
      </w:pPr>
      <w:r>
        <w:rPr>
          <w:rFonts w:ascii="Times New Roman" w:hAnsi="Times New Roman"/>
          <w:sz w:val="20"/>
        </w:rPr>
        <w:t xml:space="preserve">Shareholder class action lawsuits may be filed against us and/or certain of our directors and officers. In the past, shareholders of a public company may bring securities class action suits against companies following periods of instability in the market price of those companies’ securities. If we were involved in a class action suit, it may utilize a significant portion of our cash resources and could divert a significant amount of our management’s attention from the day-to-day operations of our company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We are currently unable to estimate the potential loss, if any, associated with the resolution of such lawsuits, if they proceed. We anticipate that we or certain of our directors or officers may be a target for lawsuits, including putative class action lawsuits brought by our shareholders and lawsuits against our directors and officers as a result of their position in other public companies. We cannot assure you that our directors or officers and we will be able to prevail in their or our defense or reverse any unfavorable judgment on appeal, and our directors or officers and we may decide to settle lawsuits on unfavorable terms. Any adverse outcome of these cases, including any plaintiffs’ appeal of the judgment in these cases, could result in payments of substantial monetary damages or fines, or changes to our business practices, and thus materially and adversely affect our business, financial condition, results of operation, cash flows, and reputation. In addition, we cannot assure you that our insurance carriers will cover all or part of the defense costs, or any liabilities that may arise from these matters. We also may be subject to claims for indemnification related to these matters, and we cannot predict the impact that indemnification claims may have on our business or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ADSs may be subject to limitations on transfer of their ADSs. </w:t>
      </w:r>
    </w:p>
    <w:p>
      <w:pPr>
        <w:pStyle w:val="TextBody"/>
        <w:bidi w:val="0"/>
        <w:spacing w:before="120" w:after="0"/>
        <w:jc w:val="left"/>
        <w:rPr>
          <w:rFonts w:ascii="Times New Roman" w:hAnsi="Times New Roman"/>
          <w:sz w:val="20"/>
        </w:rPr>
      </w:pPr>
      <w:r>
        <w:rPr>
          <w:rFonts w:ascii="Times New Roman" w:hAnsi="Times New Roman"/>
          <w:sz w:val="20"/>
        </w:rPr>
        <w:t xml:space="preserve">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memorandum and articles of association contain anti-takeover provisions that could discourage a third party from acquiring us, which could limit our shareholders’ opportunity to sell their shares, including ordinary shares represented by the ADSs, at a premium. </w:t>
      </w:r>
    </w:p>
    <w:p>
      <w:pPr>
        <w:pStyle w:val="TextBody"/>
        <w:bidi w:val="0"/>
        <w:spacing w:before="120" w:after="0"/>
        <w:jc w:val="left"/>
        <w:rPr>
          <w:rFonts w:ascii="Times New Roman" w:hAnsi="Times New Roman"/>
          <w:sz w:val="20"/>
        </w:rPr>
      </w:pPr>
      <w:r>
        <w:rPr>
          <w:rFonts w:ascii="Times New Roman" w:hAnsi="Times New Roman"/>
          <w:sz w:val="20"/>
        </w:rPr>
        <w:t xml:space="preserve">Our current memorandum and articles of association gives us powers to take actions, some of which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to (i) issue, allot and dispose of shares (including, without limitation, preferred shares) to such persons, in such manner, on such terms and having such rights and being subject to such restrictions as the directors may from time to time determine, (ii) grant rights over shares or other securities to be issued in one or more classes or series and to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our then issued and outstanding shares and (iii) grant options with respect to shares and issue warrants or similar instruments with respect thereto. Preferred shares could be issued quickly with terms calculated to delay or prevent a change in control of our company or make removal of management more difficult. However, our exercise of any such power that may limit the ability of others to acquire control of our company or cause us to engage in change-of-control transactions under the memorandum and articles, as well as others’ acquisition of control of our company, after our listing on the Hong Kong Stock Exchange is subject to our overriding obligations to comply with all applicable Hong Kong laws and regulations, including the Hong Kong Listing Rules and the Codes on Takeovers and Mergers and Share Buy-backs.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our ADSs provides that, to the extent permitted by law, holders of our ADSs waive the right to a jury trial of any claim they may have against us or the depositary arising out of or relating to the ADSs or the Deposit Agreement, including any claim under U.S. federal securities laws. 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or the depositary oppose a jury trial demand based on the above-mentioned jury trial waiver, the court will determine whether the waiver is enforceable in the facts and circumstances of that case in accordance with applicable case law. The Deposit Agreement governing our ADSs provides that, (i) the Deposit Agreement and the ADSs will be interpreted in accordance with the laws of the State of New York, and (ii) as an owner of ADSs, you irrevocably agree that any legal action arising out of the Deposit Agreement and the ADSs involving us or the depositary may only be instituted in a state or federal court in the city of New York. While to our knowledge, the enforceability of a jury trial waiver under the federal securities laws has not been finally adjudicated by a federal court, we believe that a jury trial waiver provision is generally enforceable under the laws of the State of New York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holder or beneficial owner of ADSs brings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 /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bidi w:val="0"/>
        <w:spacing w:before="240" w:after="0"/>
        <w:jc w:val="left"/>
        <w:rPr>
          <w:rFonts w:ascii="Times New Roman" w:hAnsi="Times New Roman"/>
          <w:sz w:val="20"/>
        </w:rPr>
      </w:pPr>
      <w:r>
        <w:rPr>
          <w:rFonts w:ascii="Times New Roman" w:hAnsi="Times New Roman"/>
          <w:sz w:val="20"/>
        </w:rPr>
        <w:t xml:space="preserve">Moreover, as the jury trial waiver relates to claims arising out of or relating to the ADSs or the Deposit Agreement, we believe that, as a matter of construction of the clause, the waiver would likely continue to apply to ADS holders who withdraw the Class A ordinary shares from the ADS facility with respect to claims arising before the cancellation of the ADSs and the withdrawal of the Class A ordinary shares, and the waiver would most likely not apply to ADS holders who subsequently withdraw the Class A ordinary shares represented by ADSs from the ADS facility with respect to claims arising after the withdrawal. However, to our knowledge, there has been no case law on the applicability of the jury trial waiver to ADS holders who withdraw the Class A ordinary shares represented by the ADSs from the ADS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face difficulties in protecting your interests, and your ability to protect your rights through U.S. courts or Hong Kong courts may be limited, because we are incorporated under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We are an exempted company limited by shares incorporated under the laws of the Cayman Islands. Our corporate affairs are governed by our memorandum and articles of association, Cayman Companies Act and the common law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U.S. In particular, the Cayman Islands have a less developed body of securities laws than the U.S. and Hong Kong. For example, some U.S. states, such as Delaware, have more fully developed and judicially interpreted bodies of corporate law than the Cayman Islands. In addition, Cayman Islands companies may not have standing to initiate a shareholder derivative action in a federal court of the United States or a Hong Kong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of Cayman Islands exempted companies like us have no general rights under Cayman Islands law to inspect corporate records or to obtain copies of lists of shareholders of these companies, whilst under our current memorandum and articles of association, holders of our ordinary shares will have a right to inspect or obtain copies of our list of shareholders and annual audit report of our profit and loss account and balance sheet. This may make it more difficult for you to obtain the information needed to establish any facts necessary for a shareholder resolution or to solicit proxies from other shareholders in connection with a proxy contest.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U.S. or Hong Kong.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foreign private issuer within the meaning of the rules under the Exchange Act, and as such we are exempt from certain provisions applicable to U.S. domestic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Because we qualify as a foreign private issuer under the Exchange Act, we are exempt from certain provisions of the securities rules and regulations in the U.S.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“controlled company” as defined under the NYSE Listed Company Manual. As a result, we qualify for, and may rely on, exemptions from certain corporate governance requirements that would otherwise provide protection to shareholders of other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 “controlled company” as defined under the NYSE Listed Company Manual because Mr. Xiaopeng He, our co-founder, chairman and chief executive officer, holds more than 50% of the aggregate voting power of our company. For so long as we remain a controlled company, we may rely on exemptions from certain corporate governance rules, including (i) the requirement that a majority of the board of directors consist of independent directors, (ii) the requirement that the compensation of our officers be determined or recommended to our board of directors by a compensation committee that is comprised solely of independent directors, and (iii) the requirement that director nominees be selected or recommended to the board of directors by a majority of independent directors or a nominating committee comprised solely of independent directors. Currently, we do not plan to utilize the exemptions available for controlled companies, but will rely on the exemption available for foreign private issuers to follow our home country governance practices instead. See “—We are a foreign private issuer within the meaning of the rules under the Exchange Act, and as such we are exempt from certain provisions applicable to U.S. domestic public companies.” If we cease to be a foreign private issuer or if we cannot rely on the home country governance practice exemption for any reason, we may decide to invoke the exemptions available for a controlled company as long as we remain a controlled company. As a result, you will not have the same protection afforded to shareholders of companies that are subject to all the NYSE corporate governance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a passive foreign investment company for United States federal income tax purposes for any taxable year, United States holders of our ADSs or Class A ordinary shares could be subject to adverse United States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A non-United States corporation will be a passive foreign investment company, or PFIC, for United States federal income tax purposes for any taxable year if either (i) at least 75% of its gross income for such year is passive income or (ii) at least 50% of the value of its assets (generally determined based on an average of the quarterly values of the assets) during such year is attributable to assets that produce or are held for the production of passive income. A separate determination must be made after the close of each taxable year as to whether a non-United States corporation is a PFIC for that year.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our income and assets and the value of our assets, including goodwill (which we have determined based on the trading price of our ADSs and Class A ordinary shares), we do not believe we were a PFIC for the year ended December 31, 2025, although there can be no assurance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however, that we may become a PFIC in the current or any future taxable year due to changes in our income or asset composition or changes in the value of our assets. In this regard, the value of our assets may be determined by reference to the trading price of our ADSs and Class A ordinary shares, and fluctuations in the trading price of our ADSs and Class A ordinary shares may affect our PFIC status.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is uncertainty as to the treatment of our corporate structure and ownership of the Group VIEs for United States federal income tax purposes. For United States federal income tax purposes, we consider ourselves to own the equity of the Group VIEs. If it is determined, contrary to our view, that we do not own the equity of the Group VIEs for United States federal income tax purposes (for instance, because the relevant PRC authorities do not respect these arrangements), we are more likely to be treated as a PFIC.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United States person holds ADSs or Class A ordinary shares, certain adverse United States federal income tax consequences could apply to such United States person. For example, if we are a PFIC, our United States investors may become subject to increased tax liabilities under United States federal income tax laws and regulations and will become subject to burdensome reporting requirements. See “Item 10. Additional Information—E. Taxation—Certain United States Federal Income Tax Considerations—Passive Foreign Investment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 </w:t>
      </w:r>
    </w:p>
    <w:p>
      <w:pPr>
        <w:pStyle w:val="TextBody"/>
        <w:bidi w:val="0"/>
        <w:spacing w:before="120" w:after="0"/>
        <w:jc w:val="left"/>
        <w:rPr>
          <w:rFonts w:ascii="Times New Roman" w:hAnsi="Times New Roman"/>
          <w:sz w:val="20"/>
        </w:rPr>
      </w:pPr>
      <w:r>
        <w:rPr>
          <w:rFonts w:ascii="Times New Roman" w:hAnsi="Times New Roman"/>
          <w:sz w:val="20"/>
        </w:rPr>
        <w:t xml:space="preserve">We are an exempted company incorporated in the Cayman Islands, and our ADSs are listed on the NYSE. The NYSE market rules permit a foreign private issuer like us to follow the corporate governance practices of its home country. Certain corporate governance practices in the Cayman Islands, which is our home country, differ significantly from the NYSE corporate governance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we are not required under the NYSE corporate governance listing standards to: (i) have a majority of the board be independent; (ii) have a compensation committee or a nominating and corporate governance committee consisting entirely of independent directors; (iii) have a minimum of three members on the audit committee; (iv) obtain shareholders’ approval for issuance of securities in certain situations; or (v) have regularly scheduled executive sessions with only independent directors each year.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rely on the first four exemptions described above unless otherwise required under the applicable laws and regulations in Hong Kong (including the Hong Kong Listing Rules) or disclosed in this annual report. As a result, you may not be provided with the benefits of certain corporate governance requirements of the NYSE.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different characteristics of the capital markets in Hong Kong and the U.S. may negatively affect the trading prices of our Class A ordinary shares and/or ADSs.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Hong Kong and the NYSE listing and regulatory requirements concurrently. The Hong Kong Stock Exchange and the NYSE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generally or to the same extent, or vice versa.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between our Class A ordinary shares and our ADSs may adversely affect the liquidity and/or trading price of each other. </w:t>
      </w:r>
    </w:p>
    <w:p>
      <w:pPr>
        <w:pStyle w:val="TextBody"/>
        <w:bidi w:val="0"/>
        <w:spacing w:before="120" w:after="0"/>
        <w:jc w:val="left"/>
        <w:rPr>
          <w:rFonts w:ascii="Times New Roman" w:hAnsi="Times New Roman"/>
          <w:sz w:val="20"/>
        </w:rPr>
      </w:pPr>
      <w:r>
        <w:rPr>
          <w:rFonts w:ascii="Times New Roman" w:hAnsi="Times New Roman"/>
          <w:sz w:val="20"/>
        </w:rPr>
        <w:t xml:space="preserve">Our ADSs are currently traded on the NYSE and our Class A shares are currently traded on the Hong Kong Stock Exchange. Subject to compliance with U.S. securities law and the terms of the Deposit Agreement, holders of our Class A ordinary shares may deposit the Class A ordinary shares with the depositary in exchange for the issuance of our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in exchange for ADSs or vice versa, the liquidity and trading price of our Class A ordinary shares on the Hong Kong Stock Exchange and our ADSs on the NYSE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time required for the exchange between Class A ordinary shares and ADSs might be longer than expected and investors might not be able to settle or effect any sale of their securities during this period, and the exchange of Class A ordinary shares into ADSs involves costs. </w:t>
      </w:r>
    </w:p>
    <w:p>
      <w:pPr>
        <w:pStyle w:val="TextBody"/>
        <w:bidi w:val="0"/>
        <w:spacing w:before="120" w:after="0"/>
        <w:jc w:val="left"/>
        <w:rPr>
          <w:rFonts w:ascii="Times New Roman" w:hAnsi="Times New Roman"/>
          <w:sz w:val="20"/>
        </w:rPr>
      </w:pPr>
      <w:r>
        <w:rPr>
          <w:rFonts w:ascii="Times New Roman" w:hAnsi="Times New Roman"/>
          <w:sz w:val="20"/>
        </w:rPr>
        <w:t xml:space="preserve">There is no direct trading or settlement between the NYSE and the Hong Kong Stock Exchange on which our ADSs and our Class A ordinary shares are respectively traded. In addition, the time differences between Hong Kong and New York, unforeseen market circumstances or other factors may delay the deposit of Class A ordinary shares in exchange of ADSs or the withdrawal of Class A ordinary shares underlying the ADSs. Investors will be prevented from settling or effecting the sale of their securities during such periods of delay. In addition, there is no assurance that any exchange of Class A ordinary shares into ADSs (and vice versa) will be completed in accordance with the timelines that investors may anticipate.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depositary for the ADSs is entitled to charge holders fees for various services including, among others, for the issuance of ADSs upon deposit of Class A ordinary shares, cancelation of ADSs, distributions of cash dividends or other cash distributions, distributions of ADSs pursuant to share dividends or other free share distributions and distributions of securities other than ADSs. As a result, shareholders who exchange Class A ordinary shares into ADSs, and vice versa, may not achieve the level of economic return the shareholders may anticipate.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uncertainty as to whether Hong Kong stamp duty will apply to the trading or conversion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branch register of members in Hong Kong, or the Hong Kong share register. Our Class A ordinary shares that are traded on the Hong Kong Stock Exchange, including those that may be converted from ADSs, will be registered on the Hong Kong share register, and the trading of these shares on the Hong Kong Stock Exchange will be subject to the Hong Kong stamp duty. To facilitate ADS-ordinary share conversion and trading between the NYSE and the Hong Kong Stock Exchange, we also have moved a portion of our issued Class A ordinary shares from our register of members maintained in the Cayman Islands to our Hong Kong share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Hong Kong Stamp Duty Ordinance, any person who effects any sale or purchase of Hong Kong stock, defined as stock the transfer of which is required to be registered in Hong Kong, is required to pay Hong Kong stamp duty. According to the Stamp Duty (Amendment) (Stock Transfers) Bill 2023, which became effective on November 17, 2023, the stamp duty rate on transfer of any Hong Kong stock would be reduced from 0.13% to 0.1% of the consideration or the market value (whichever is the higher) of the stock transferred, payable by each of the buyer and seller. </w:t>
      </w:r>
    </w:p>
    <w:p>
      <w:pPr>
        <w:pStyle w:val="TextBody"/>
        <w:bidi w:val="0"/>
        <w:spacing w:before="240" w:after="0"/>
        <w:jc w:val="left"/>
        <w:rPr>
          <w:rFonts w:ascii="Times New Roman" w:hAnsi="Times New Roman"/>
          <w:sz w:val="20"/>
        </w:rPr>
      </w:pPr>
      <w:r>
        <w:rPr>
          <w:rFonts w:ascii="Times New Roman" w:hAnsi="Times New Roman"/>
          <w:sz w:val="20"/>
        </w:rPr>
        <w:t xml:space="preserve">To the best of our knowledge, Hong Kong stamp duty has not been levied in practice on the trading or conversion of ADSs of companies that are listed in both the United States and Hong Kong and that have maintained all or a portion of their common shares, including common shares underlying ADSs, in their Hong Kong share registers. However, it is unclear whether, as a matter of Hong Kong law, the trading or conversion of ADSs of these dual-listed companies constitutes a sale or purchase of the underlying Hong Kong-registered common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Class A ordinary shares and/or ADSs may be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investors may experience further dilution if we issue additional ADSs and/or Class A ordinary shares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may consider offering and issuing additional shares or equity-related securities in the future to raise additional funds, finance acquisitions or for other purposes. Purchasers of our Class A ordinary shares may experience further dilution in terms of the net tangible asset value per share if we issue additional shares in the future at a price that is lower than the net tangible asset value per share. On July 26, 2023, we entered into the VW Share Purchase Agreement for strategic minority investment by the Volkswagen Group in us, pursuant to which, on December 6, 2023, we issued an aggregate of 94,079,255 Class A ordinary shares to Volkswagen Nominee for approximately US$705.6 million. On August 27, 2023, we and DiDi entered into the DiDi Share Purchase Agreement to acquire DiDi’s smart auto development business, pursuant to which on November 13, 2023, upon the initial closing of the DiDi Share Purchase Agreement, we issued 58,164,217 Class A ordinary shares to DiDi, and on August 13, 2024, upon the start-of-production (SOP) closing of the DiDi Share Purchase Agreement, we issued 4,636,447 Class A ordinary shares to DiDi. We may issue additional Class A ordinary shares to DiDi under the DiDi Share Purchase Agreement upon satisfaction of certain milestones under the DiDi Share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should read the entire document carefully, and we strongly caution you not to place any reliance on any information contained in press articles or other media regarding ourselves.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publication of this annual report, there may be press and media coverage regarding us, which contained, among other things, certain financial information, projections, valuations and other forward-looking information about us. We have not authorized the disclosure of any such information in the press or media and do not accept responsibility for the accuracy or completeness of such press articles or other media coverage. We make no representation as to the appropriateness, accuracy, completeness or reliability of any of the projections, valuations or other forward-looking information about us. To the extent such statements are inconsistent with, or conflict with, the information contained in this annual report, we disclaim responsibility for them. Accordingly, prospective investors are cautioned to make their investment decisions on the basis of the information contained in this annual report and any documents incorporated by reference herein only, and should not rely on any other information.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905"/>
        <w:gridCol w:w="3335"/>
      </w:tblGrid>
      <w:tr>
        <w:trPr/>
        <w:tc>
          <w:tcPr>
            <w:tcW w:w="905" w:type="dxa"/>
            <w:tcBorders/>
            <w:vAlign w:val="center"/>
          </w:tcPr>
          <w:p>
            <w:pPr>
              <w:pStyle w:val="TableContents"/>
              <w:bidi w:val="0"/>
              <w:spacing w:before="0" w:after="283"/>
              <w:jc w:val="left"/>
              <w:rPr>
                <w:b/>
              </w:rPr>
            </w:pPr>
            <w:bookmarkStart w:id="7" w:name="rom36361_5"/>
            <w:bookmarkEnd w:id="7"/>
            <w:r>
              <w:rPr>
                <w:b/>
              </w:rPr>
              <w:t>ITEM 4.</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History and Development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Group began its operations in 2015 through Chengxing Zhidong, a PRC limited liability company. The Group undertook a reorganization, or the Reorganization, to facilitate its initial public offering in the United States. As part of the Reorganization, the Group incorporated XPeng Inc., an exempted company incorporated under the laws of Cayman Islands, in December 2018. Subsequently, XPeng Inc. established XPeng Limited, a limited liability company established in the British Virgin Islands. XPeng Limited then established XPeng (Hong Kong) Limited, a Hong Kong limited liability company, as its wholly-owned subsidiary. XPeng (Hong Kong) Limited then established Xiaopeng Motors as a wholly foreign-owned enterprise in the PRC.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transitional arrangement of the Reorganization, Xiaopeng Motors entered into a series of contractual agreements with Chengxing Zhidong and its shareholders in September 2019, pursuant to which Xiaopeng Motors exercised effective control over the operations of Chengxing Zhidong. In connection with the Reorganization, substantially all of the former shareholders of Chengxing Zhidong have exited from Chengxing Zhidong and obtained, by themselves or through their respective affiliates, shares of XPeng Inc. based on their respective shareholding in Chengxing Zhidong prior to the Reorganization. In May 2020, Xiaopeng Motors completed its purchase of 100% equity interest in Chengxing Zhidong. Consequently, Chengxing Zhidong became an indirect wholly-owned subsidiary of XPeng Inc. </w:t>
      </w:r>
    </w:p>
    <w:p>
      <w:pPr>
        <w:pStyle w:val="TextBody"/>
        <w:bidi w:val="0"/>
        <w:spacing w:before="240" w:after="0"/>
        <w:jc w:val="left"/>
        <w:rPr>
          <w:rFonts w:ascii="Times New Roman" w:hAnsi="Times New Roman"/>
          <w:sz w:val="20"/>
        </w:rPr>
      </w:pPr>
      <w:r>
        <w:rPr>
          <w:rFonts w:ascii="Times New Roman" w:hAnsi="Times New Roman"/>
          <w:sz w:val="20"/>
        </w:rPr>
        <w:t xml:space="preserve">In August 2020, we listed our ADSs on the NYSE under the symbol “XPEV.” In July 2021, we listed our Class A ordinary shares on the Hong Kong Stock Exchange under the stock code “9868.” </w:t>
      </w:r>
    </w:p>
    <w:p>
      <w:pPr>
        <w:pStyle w:val="TextBody"/>
        <w:bidi w:val="0"/>
        <w:spacing w:before="240" w:after="0"/>
        <w:jc w:val="left"/>
        <w:rPr>
          <w:rFonts w:ascii="Times New Roman" w:hAnsi="Times New Roman"/>
          <w:sz w:val="20"/>
        </w:rPr>
      </w:pPr>
      <w:r>
        <w:rPr>
          <w:rFonts w:ascii="Times New Roman" w:hAnsi="Times New Roman"/>
          <w:sz w:val="20"/>
        </w:rPr>
        <w:t xml:space="preserve">In July 2023, we and the Volkswagen Group entered into the VW Technical Framework Agreement on strategic technical collaboration and the VW Share Purchase Agreement for strategic minority investment by the Volkswagen Group in us.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No.10, Cencun Fengzhuang Avenue, Tianhe District, Guangzhou, Guangdong 510640, People’s Republic of China. Our telephone number at this address is +86-20-6680-6680. Our registered office in the Cayman Islands is located at the offices of Harneys Fiduciary (Cayman) Limited, 4th Floor, Harbour Place, 103 South Church Street, P.O. Box 10240, Grand Cayman KY1-1002, Cayman Islands. Our agent for service of process in the United States in connection with our registration statements is Cogency Global Inc., located at 122 East 42nd Street, 18th Floor, New York, N.Y. 10168. We maintain our website at https://www.xpeng.com/. The information contained on, or linked from, our website is not a part of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 site at www.sec.gov that contains reports, proxy and information statements, and other information regarding issuers that file electronically with the SEC using its EDGAR system. </w:t>
      </w:r>
    </w:p>
    <w:p>
      <w:pPr>
        <w:pStyle w:val="TextBody"/>
        <w:bidi w:val="0"/>
        <w:spacing w:before="360" w:after="0"/>
        <w:jc w:val="left"/>
        <w:rPr>
          <w:rFonts w:ascii="Times New Roman" w:hAnsi="Times New Roman"/>
          <w:b/>
          <w:sz w:val="20"/>
        </w:rPr>
      </w:pPr>
      <w:r>
        <w:rPr>
          <w:rFonts w:ascii="Times New Roman" w:hAnsi="Times New Roman"/>
          <w:b/>
          <w:sz w:val="20"/>
        </w:rPr>
        <w:t xml:space="preserve">B. Business Overview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Chinese Smart EV and NEV company that designs, develops, manufactures, and markets Smart EVs and NEVs that primarily appeal to the large and growing base of middle-class consumers in China. We are also expanding our international presence, with a focus on the mid- to high-end segment in the global passenger vehicle market. Since inception, we have taken an innovative technology path to our envisioned future of mobility. We intend to empower consumers with our differentiated Smart EVs and NEVs that can offer disruptive mobility experiences. We believe this can be achieved by fast iteration of software and seamless integration with hardware, which enable us to lead the innovation of Smart EV and NEV technologies and provide differentiated Smart EV and NEV products to consumers.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in 2015, we have become one of the leading Smart EV and NEV companies in China, with leading software and hardware technology at our core and bringing innovation in advanced driver assistance, smart connectivity and core vehicle systems. We develop full stack advanced driver assistance systems, or ADAS, software in house and have deployed such software on mass-produced vehicles. We started to roll out our XNGP in March 2023 and have made XNGP available in cities without HD map coverage since November 2023. As a result, its geographical coverage has expanded swiftly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Smart EVs and NEVs are designed to appeal to the large growing base of middle-class consumers globally. We primarily target the mid- to high-end segment in the global passenger vehicle market. Consumers choose our products primarily because of attractive design, industry-leading electrification and smart technologies, interactive smart mobility experience and long driving range. </w:t>
      </w:r>
    </w:p>
    <w:p>
      <w:pPr>
        <w:pStyle w:val="TextBody"/>
        <w:bidi w:val="0"/>
        <w:spacing w:before="240" w:after="0"/>
        <w:jc w:val="left"/>
        <w:rPr>
          <w:rFonts w:ascii="Times New Roman" w:hAnsi="Times New Roman"/>
          <w:sz w:val="20"/>
        </w:rPr>
      </w:pPr>
      <w:r>
        <w:rPr>
          <w:rFonts w:ascii="Times New Roman" w:hAnsi="Times New Roman"/>
          <w:sz w:val="20"/>
        </w:rPr>
        <w:t xml:space="preserve">Since December 2018, we have launched and continuously upgraded a series of strategically positioned vehicle models. We are building a rapidly expanding, diversified portfolio of attractive Smart EV and NEV models to capture the growing demand for Smart EVs and NEVs and appeal to the differentiated needs of a broad customer base.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upgraded the G6 and the G9 to their respective 2025 Edition and started delivery during the same month.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2025, we upgraded the X9 to its latest 2025 Edition.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July 2025, we launched the G7 and started delivery during the same month.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August 2025, we launched the Next P7 and started delivery during the same month.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launched the X9 EREV and started delivery during the same month.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upgraded the P7+, the G6 and the G9 to their respective 2026 versions, and launched the EREV versions of the G7 and the P7+.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2026, we launched the EREV version of the G6 and started delivery during the same month.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2026, we upgraded the MONA M03 to its latest 2026 Edition and started the presale of GX.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offer the following models: </w:t>
      </w:r>
    </w:p>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Sedan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MONA M03 (BEV) with a wheelbase of 2,815 mm and CLTC range between 510 km and 640 km.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Next P7 (BEV) with a wheelbase of 3,008 mm and CLTC range between 702 km and 820 km.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P7+ (BEV / EREV) with a wheelbase of 3,000 mm and CLTC total range between 615 km and 725 km for BEV version and reaches 1,550 km for EREV version. </w:t>
            </w:r>
          </w:p>
        </w:tc>
      </w:tr>
    </w:tbl>
    <w:p>
      <w:pPr>
        <w:pStyle w:val="TextBody"/>
        <w:bidi w:val="0"/>
        <w:spacing w:before="0" w:after="0"/>
        <w:jc w:val="left"/>
        <w:rPr/>
      </w:pPr>
      <w:r>
        <w:rPr/>
        <w:t> </w:t>
      </w:r>
    </w:p>
    <w:tbl>
      <w:tblPr>
        <w:tblW w:w="700" w:type="dxa"/>
        <w:jc w:val="left"/>
        <w:tblInd w:w="0" w:type="dxa"/>
        <w:tblLayout w:type="fixed"/>
        <w:tblCellMar>
          <w:top w:w="0" w:type="dxa"/>
          <w:left w:w="0" w:type="dxa"/>
          <w:bottom w:w="0" w:type="dxa"/>
          <w:right w:w="0" w:type="dxa"/>
        </w:tblCellMar>
      </w:tblPr>
      <w:tblGrid>
        <w:gridCol w:w="75"/>
        <w:gridCol w:w="110"/>
        <w:gridCol w:w="60"/>
        <w:gridCol w:w="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G6 (BEV / EREV) with a wheelbase of 2,890 mm and CLTC total range of 625 km for BEV version and reaches 1,704 km for EREV version.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G7 (BEV / EREV) with a wheelbase of 2,890 mm and CLTC total range between 602 km and 702 km for BEV version and reaches 1,704 km for EREV version.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G9 (BEV) with a wheelbase of 2,998 mm and CLTC range between 625 km and 725 km. </w:t>
            </w:r>
          </w:p>
        </w:tc>
      </w:tr>
    </w:tbl>
    <w:p>
      <w:pPr>
        <w:pStyle w:val="TextBody"/>
        <w:bidi w:val="0"/>
        <w:spacing w:before="0" w:after="0"/>
        <w:jc w:val="left"/>
        <w:rPr/>
      </w:pPr>
      <w:r>
        <w:rPr/>
        <w:t> </w:t>
      </w:r>
    </w:p>
    <w:tbl>
      <w:tblPr>
        <w:tblW w:w="745" w:type="dxa"/>
        <w:jc w:val="left"/>
        <w:tblInd w:w="0" w:type="dxa"/>
        <w:tblLayout w:type="fixed"/>
        <w:tblCellMar>
          <w:top w:w="0" w:type="dxa"/>
          <w:left w:w="0" w:type="dxa"/>
          <w:bottom w:w="0" w:type="dxa"/>
          <w:right w:w="0" w:type="dxa"/>
        </w:tblCellMar>
      </w:tblPr>
      <w:tblGrid>
        <w:gridCol w:w="75"/>
        <w:gridCol w:w="110"/>
        <w:gridCol w:w="60"/>
        <w:gridCol w:w="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MPV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X9 (BEV / EREV) with a wheelbase of 3,160 mm and CLTC total range between 650 km and 750 km for BEV version and reaches 1,602 km for EREV version.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ADAS and in-car intelligent operating system enable customers to enjoy a differentiated smart mobility experience, and our Smart EVs and NEVs can be upgraded through OTA firmware updates to introduce enhancements and new functionalities. Continuous innovation in software is one of the key factors that differentiate our Smart EVs and NEVs and has become a critical value proposition appealing to customers. </w:t>
      </w:r>
    </w:p>
    <w:p>
      <w:pPr>
        <w:pStyle w:val="TextBody"/>
        <w:bidi w:val="0"/>
        <w:spacing w:before="240" w:after="0"/>
        <w:jc w:val="left"/>
        <w:rPr>
          <w:rFonts w:ascii="Times New Roman" w:hAnsi="Times New Roman"/>
          <w:sz w:val="20"/>
        </w:rPr>
      </w:pPr>
      <w:r>
        <w:rPr>
          <w:rFonts w:ascii="Times New Roman" w:hAnsi="Times New Roman"/>
          <w:sz w:val="20"/>
        </w:rPr>
        <w:t xml:space="preserve">We seek to expand our customer reach by extending our online and physical sales and service network. We had a total of 721 stores, covering 255 cities in China as of December 31, 2025. These stores in our sales network include both stores directly operated by us and franchised stores. In addition, we actively engage in online marketing through various channels to further enhance our brand recognition and customer acquisition. </w:t>
      </w:r>
    </w:p>
    <w:p>
      <w:pPr>
        <w:pStyle w:val="TextBody"/>
        <w:bidi w:val="0"/>
        <w:spacing w:before="240" w:after="0"/>
        <w:jc w:val="left"/>
        <w:rPr>
          <w:rFonts w:ascii="Times New Roman" w:hAnsi="Times New Roman"/>
          <w:sz w:val="20"/>
        </w:rPr>
      </w:pPr>
      <w:r>
        <w:rPr>
          <w:rFonts w:ascii="Times New Roman" w:hAnsi="Times New Roman"/>
          <w:sz w:val="20"/>
        </w:rPr>
        <w:t xml:space="preserve">We aim to offer our customers a convenient charging and driving experience by providing them with access to a vast, rapidly-growing charging network. Our customers can choose to charge their Smart EVs or NEVs using home chargers, at XPENG self-operated charging station network or at third-party charging stations. In addition, we started to launch the 480kW S4 supercharging stations in China in 2022. As of December 31, 2025, XPENG self-operated charging station network further expanded to 3,159 stations, including 2,654 XPENG self-operated supercharging stations and 505 destination charging stations. Our S4 and S5 supercharging stations have covered 222 cities in China, including all of the tier-1 and the new tier-1 cities.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philosophy centers on quality, continuous improvement, flexibility and high operating efficiency. We currently mainly manufacture our vehicles at our own Zhaoqing and Guangzhou plants. In addition, as of March 31, 2026, the construction of our new manufacturing base in Wuhan has been completed, which had obtained the property ownership certificate upon completion of the inspection and acceptance procedures conducted by relevant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total revenues grew rapidly from RMB30,676.1 million in 2023 to RMB40,866.3 million in 2024, and further to RMB76,719.7 million in 2025. The deliveries of our Smart EVs and NEVs increased from 141,601 units in 2023 to 190,068 units in 2024, and further to 429,445 units in 2025, representing a significant year-on-year growth rate of 125.9% between 2024 and 2025. Along with strong revenue growth, our gross profit margin increased from 1.5% in 2023 to 14.3% in 2024, and further increased to 18.9% in 2025. </w:t>
      </w:r>
    </w:p>
    <w:p>
      <w:pPr>
        <w:pStyle w:val="TextBody"/>
        <w:bidi w:val="0"/>
        <w:spacing w:before="360" w:after="0"/>
        <w:jc w:val="left"/>
        <w:rPr>
          <w:rFonts w:ascii="Times New Roman" w:hAnsi="Times New Roman"/>
          <w:b/>
          <w:sz w:val="20"/>
        </w:rPr>
      </w:pPr>
      <w:r>
        <w:rPr>
          <w:rFonts w:ascii="Times New Roman" w:hAnsi="Times New Roman"/>
          <w:b/>
          <w:sz w:val="20"/>
        </w:rPr>
        <w:t xml:space="preserve">Products </w:t>
      </w:r>
    </w:p>
    <w:p>
      <w:pPr>
        <w:pStyle w:val="TextBody"/>
        <w:bidi w:val="0"/>
        <w:spacing w:before="120" w:after="0"/>
        <w:jc w:val="left"/>
        <w:rPr>
          <w:rFonts w:ascii="Times New Roman" w:hAnsi="Times New Roman"/>
          <w:sz w:val="20"/>
        </w:rPr>
      </w:pPr>
      <w:r>
        <w:rPr>
          <w:rFonts w:ascii="Times New Roman" w:hAnsi="Times New Roman"/>
          <w:sz w:val="20"/>
        </w:rPr>
        <w:t xml:space="preserve">Our products include Smart EVs, NEVs and advanced ADAS software system. We design, develop, manufacture and market Smart EVs and NEVs, and we develop full-stack ADAS software system in-house. We design our Smart EVs and NEVs to satisfy the needs and preferences of middle-class consumers in China. Primarily priced in the mid- to high-end segment, our Smart EVs and NEVs offer customers a great-to-drive and great-to-be-driven experience, as well as compelling value proposition.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P7 </w:t>
      </w:r>
    </w:p>
    <w:p>
      <w:pPr>
        <w:pStyle w:val="TextBody"/>
        <w:bidi w:val="0"/>
        <w:spacing w:before="120" w:after="0"/>
        <w:jc w:val="left"/>
        <w:rPr>
          <w:rFonts w:ascii="Times New Roman" w:hAnsi="Times New Roman"/>
          <w:sz w:val="20"/>
        </w:rPr>
      </w:pPr>
      <w:r>
        <w:rPr>
          <w:rFonts w:ascii="Times New Roman" w:hAnsi="Times New Roman"/>
          <w:sz w:val="20"/>
        </w:rPr>
        <w:t xml:space="preserve">Our second mass-produced Smart EV, the P7, is a four-door sports sedan. We started the production of the P7 and began delivery in May 2020. In November 2020, we unveiled the P7 Wing, a limited edition designed to maximize the sporty and dynamic style of the sports sedan with a pair of specifically-designed scissor-style front doors, which are traditionally only available in luxury sports vehicles. We started the delivery of the P7 Wing in March 2021. In March 2023, we upgraded the P7 to P7i, and started the delivery during the same month. In March 2024, we introduced a new version of P7i, being the first time we brought scissor-style front doors to two-wheel drive models, and started delivery during the same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Next P7 </w:t>
      </w:r>
    </w:p>
    <w:p>
      <w:pPr>
        <w:pStyle w:val="TextBody"/>
        <w:bidi w:val="0"/>
        <w:spacing w:before="120" w:after="0"/>
        <w:jc w:val="left"/>
        <w:rPr>
          <w:rFonts w:ascii="Times New Roman" w:hAnsi="Times New Roman"/>
          <w:sz w:val="20"/>
        </w:rPr>
      </w:pPr>
      <w:r>
        <w:rPr>
          <w:rFonts w:ascii="Times New Roman" w:hAnsi="Times New Roman"/>
          <w:sz w:val="20"/>
        </w:rPr>
        <w:t xml:space="preserve">In August 2025, we launched the Next P7, which is an all-new coupe sports sedan, and started delivery during the same month. The Next P7 is built on an 800V high-voltage SiC platform and equipped with a 5C ultra-fast-charging intelligent battery.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G9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we launched the G9, which is a mid- to large-sized SUV, and started mass delivery in October 2022. </w:t>
      </w:r>
    </w:p>
    <w:p>
      <w:pPr>
        <w:pStyle w:val="TextBody"/>
        <w:bidi w:val="0"/>
        <w:spacing w:before="240" w:after="0"/>
        <w:jc w:val="left"/>
        <w:rPr>
          <w:rFonts w:ascii="Times New Roman" w:hAnsi="Times New Roman"/>
          <w:sz w:val="20"/>
        </w:rPr>
      </w:pPr>
      <w:r>
        <w:rPr>
          <w:rFonts w:ascii="Times New Roman" w:hAnsi="Times New Roman"/>
          <w:sz w:val="20"/>
        </w:rPr>
        <w:t xml:space="preserve">Featuring our powertrain system using 800V high-voltage Silicon Carbide (SiC) platform, the G9 demonstrates greater energy utilization efficiency and charging efficiency compared to other EVs built on a 400V platform. </w:t>
      </w:r>
    </w:p>
    <w:p>
      <w:pPr>
        <w:pStyle w:val="TextBody"/>
        <w:bidi w:val="0"/>
        <w:spacing w:before="240" w:after="0"/>
        <w:jc w:val="left"/>
        <w:rPr>
          <w:rFonts w:ascii="Times New Roman" w:hAnsi="Times New Roman"/>
          <w:sz w:val="20"/>
        </w:rPr>
      </w:pPr>
      <w:r>
        <w:rPr>
          <w:rFonts w:ascii="Times New Roman" w:hAnsi="Times New Roman"/>
          <w:sz w:val="20"/>
        </w:rPr>
        <w:t xml:space="preserve">In March 2025 and January 2026, we upgraded the G9 to its 2025 Edition and 2026 Edition,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G6 and G6 EREV </w:t>
      </w:r>
    </w:p>
    <w:p>
      <w:pPr>
        <w:pStyle w:val="TextBody"/>
        <w:bidi w:val="0"/>
        <w:spacing w:before="120" w:after="0"/>
        <w:jc w:val="left"/>
        <w:rPr>
          <w:rFonts w:ascii="Times New Roman" w:hAnsi="Times New Roman"/>
          <w:sz w:val="20"/>
        </w:rPr>
      </w:pPr>
      <w:r>
        <w:rPr>
          <w:rFonts w:ascii="Times New Roman" w:hAnsi="Times New Roman"/>
          <w:sz w:val="20"/>
        </w:rPr>
        <w:t xml:space="preserve">In June 2023, we launched the G6, which is a coupe SUV, and started delivery to customers in July 2023. </w:t>
      </w:r>
    </w:p>
    <w:p>
      <w:pPr>
        <w:pStyle w:val="TextBody"/>
        <w:bidi w:val="0"/>
        <w:spacing w:before="240" w:after="0"/>
        <w:jc w:val="left"/>
        <w:rPr>
          <w:rFonts w:ascii="Times New Roman" w:hAnsi="Times New Roman"/>
          <w:sz w:val="20"/>
        </w:rPr>
      </w:pPr>
      <w:r>
        <w:rPr>
          <w:rFonts w:ascii="Times New Roman" w:hAnsi="Times New Roman"/>
          <w:sz w:val="20"/>
        </w:rPr>
        <w:t xml:space="preserve">Based on our next-generation technology architecture, SEPA 2.0, the G6 is equipped with our powertrain system using 800V high-voltage SiC platform and features cutting-edge front and rear integrated aluminum body die-casting technology and Cell Integrated Body (CIB) battery-body integration technology. </w:t>
      </w:r>
    </w:p>
    <w:p>
      <w:pPr>
        <w:pStyle w:val="TextBody"/>
        <w:bidi w:val="0"/>
        <w:spacing w:before="240" w:after="0"/>
        <w:jc w:val="left"/>
        <w:rPr>
          <w:rFonts w:ascii="Times New Roman" w:hAnsi="Times New Roman"/>
          <w:sz w:val="20"/>
        </w:rPr>
      </w:pPr>
      <w:r>
        <w:rPr>
          <w:rFonts w:ascii="Times New Roman" w:hAnsi="Times New Roman"/>
          <w:sz w:val="20"/>
        </w:rPr>
        <w:t xml:space="preserve">In March 2025 and January 2026, we upgraded the G6 to 2025 Edition and 2026 Edition, respectively. In March 2026, we further launched the EREV version of the G6 and started delivery during the same month. </w:t>
      </w:r>
    </w:p>
    <w:p>
      <w:pPr>
        <w:pStyle w:val="TextBody"/>
        <w:bidi w:val="0"/>
        <w:spacing w:before="360" w:after="0"/>
        <w:jc w:val="left"/>
        <w:rPr>
          <w:rFonts w:ascii="Times New Roman" w:hAnsi="Times New Roman"/>
          <w:b/>
          <w:i/>
          <w:sz w:val="20"/>
        </w:rPr>
      </w:pPr>
      <w:r>
        <w:rPr>
          <w:rFonts w:ascii="Times New Roman" w:hAnsi="Times New Roman"/>
          <w:b/>
          <w:i/>
          <w:sz w:val="20"/>
        </w:rPr>
        <w:t xml:space="preserve">X9 and X9 EREV </w:t>
      </w:r>
    </w:p>
    <w:p>
      <w:pPr>
        <w:pStyle w:val="TextBody"/>
        <w:bidi w:val="0"/>
        <w:spacing w:before="120" w:after="0"/>
        <w:jc w:val="left"/>
        <w:rPr>
          <w:rFonts w:ascii="Times New Roman" w:hAnsi="Times New Roman"/>
          <w:sz w:val="20"/>
        </w:rPr>
      </w:pPr>
      <w:r>
        <w:rPr>
          <w:rFonts w:ascii="Times New Roman" w:hAnsi="Times New Roman"/>
          <w:sz w:val="20"/>
        </w:rPr>
        <w:t xml:space="preserve">In January 2024, we launched the X9, which is a large seven-seater MPV, and started delivery during the same month. </w:t>
      </w:r>
    </w:p>
    <w:p>
      <w:pPr>
        <w:pStyle w:val="TextBody"/>
        <w:bidi w:val="0"/>
        <w:spacing w:before="240" w:after="0"/>
        <w:jc w:val="left"/>
        <w:rPr>
          <w:rFonts w:ascii="Times New Roman" w:hAnsi="Times New Roman"/>
          <w:sz w:val="20"/>
        </w:rPr>
      </w:pPr>
      <w:r>
        <w:rPr>
          <w:rFonts w:ascii="Times New Roman" w:hAnsi="Times New Roman"/>
          <w:sz w:val="20"/>
        </w:rPr>
        <w:t xml:space="preserve">Based on our next-generation technology architecture, SEPA 2.0, the X9 is equipped with our powertrain system using 800V high-voltage SiC platform and features cutting-edge front and rear integrated aluminum body die-casting technology and CIB battery-body integration technology. The X9 is equipped with an active rear-wheel steering system and intelligent dual-chamber air suspension, providing customers with an enhanced driving experience. Also, the X9 features our smart in-car operating system, XOS Tianji.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we introduced a new version of the X9. In April 2025, we upgraded the X9 to the 2025 Edition.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2025, we launched the X9 EREV and started delivery during the same month. The X9 EREV features a combination of a large-capacity fuel tank that was designed for extended-range operation, and supports 5C ultra-fast-charging capability under an 800V high-voltage SiC platform.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MONA M03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we launched the first model of the MONA series, MONA M03. Deliveries of MONA M03 started in August 2024. MONA M03, an all-electric hatchback coupe, has a wheelbase of 2,815 mm and CLTC range between 510 km and 640 km. MONA M03 demonstrated leading wind resistance among mass-produced pure electric hatchbacks. </w:t>
      </w:r>
    </w:p>
    <w:p>
      <w:pPr>
        <w:pStyle w:val="TextBody"/>
        <w:bidi w:val="0"/>
        <w:spacing w:before="240" w:after="0"/>
        <w:jc w:val="left"/>
        <w:rPr>
          <w:rFonts w:ascii="Times New Roman" w:hAnsi="Times New Roman"/>
          <w:sz w:val="20"/>
        </w:rPr>
      </w:pPr>
      <w:r>
        <w:rPr>
          <w:rFonts w:ascii="Times New Roman" w:hAnsi="Times New Roman"/>
          <w:sz w:val="20"/>
        </w:rPr>
        <w:t xml:space="preserve">In April 2026, we upgraded the MONA M03 to the 2026 Edition.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P7+ and P7+ EREV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we launched the P7+ and started delivery during the same month. With a 5,056 mm body length and a 3,000 mm wheelbase, the P7+ allows rear passengers ample headroom and enough room for both rows to stretch out. Equipped with our in-house the Hawkeye Visual Solution, P7+ features built-in advanced ADAS across the entire lineup.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January 2026, we launched the 2026 Edition of the P7+ and its EREV version, the P7+ EREV, and started delivery during the same month. The 2026 Edition of the P7+ is built on an 800V high-voltage SiC platform and equipped with a 5C ultra-fast-charging intelligent battery. Its EREV version offers a combined CLTC range of 1,550 km. </w:t>
      </w:r>
    </w:p>
    <w:p>
      <w:pPr>
        <w:pStyle w:val="TextBody"/>
        <w:bidi w:val="0"/>
        <w:spacing w:before="360" w:after="0"/>
        <w:jc w:val="left"/>
        <w:rPr>
          <w:rFonts w:ascii="Times New Roman" w:hAnsi="Times New Roman"/>
          <w:b/>
          <w:i/>
          <w:sz w:val="20"/>
        </w:rPr>
      </w:pPr>
      <w:r>
        <w:rPr>
          <w:rFonts w:ascii="Times New Roman" w:hAnsi="Times New Roman"/>
          <w:b/>
          <w:i/>
          <w:sz w:val="20"/>
        </w:rPr>
        <w:t xml:space="preserve">G7 and G7 EREV </w:t>
      </w:r>
    </w:p>
    <w:p>
      <w:pPr>
        <w:pStyle w:val="TextBody"/>
        <w:bidi w:val="0"/>
        <w:spacing w:before="120" w:after="0"/>
        <w:jc w:val="left"/>
        <w:rPr>
          <w:rFonts w:ascii="Times New Roman" w:hAnsi="Times New Roman"/>
          <w:sz w:val="20"/>
        </w:rPr>
      </w:pPr>
      <w:r>
        <w:rPr>
          <w:rFonts w:ascii="Times New Roman" w:hAnsi="Times New Roman"/>
          <w:sz w:val="20"/>
        </w:rPr>
        <w:t xml:space="preserve">In July 2025, we launched the G7 and started delivery to customers in the same month. The G7 was designed for families and individual consumers seeking advanced technology and comfort. In addition, the G7 supports ADAS and smart infotainment systems and supports 5C ultra-fast charging under an 800V high-voltage SiC platform.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we launched the 2026 Edition of the G7 and its EREV version, the G7 EREV, and started delivery during the same month. The G7 EREV version offers a combined CLTC range of 1,704 km.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Plans to Launch New Models </w:t>
      </w:r>
    </w:p>
    <w:p>
      <w:pPr>
        <w:pStyle w:val="TextBody"/>
        <w:bidi w:val="0"/>
        <w:spacing w:before="120" w:after="0"/>
        <w:jc w:val="left"/>
        <w:rPr>
          <w:rFonts w:ascii="Times New Roman" w:hAnsi="Times New Roman"/>
          <w:sz w:val="20"/>
        </w:rPr>
      </w:pPr>
      <w:r>
        <w:rPr>
          <w:rFonts w:ascii="Times New Roman" w:hAnsi="Times New Roman"/>
          <w:sz w:val="20"/>
        </w:rPr>
        <w:t xml:space="preserve">We plan to continuously introduce new models and facelifts to expand our product portfolio and customer base. We have invested in multiple powerful EV vehicle platforms over the past few years. Our future models will be based on these platforms and our latest technology architecture, adaptable and flexible with multiple vehicle platforms. </w:t>
      </w:r>
    </w:p>
    <w:p>
      <w:pPr>
        <w:pStyle w:val="TextBody"/>
        <w:bidi w:val="0"/>
        <w:spacing w:before="360" w:after="0"/>
        <w:jc w:val="left"/>
        <w:rPr>
          <w:rFonts w:ascii="Times New Roman" w:hAnsi="Times New Roman"/>
          <w:b/>
          <w:sz w:val="20"/>
        </w:rPr>
      </w:pPr>
      <w:r>
        <w:rPr>
          <w:rFonts w:ascii="Times New Roman" w:hAnsi="Times New Roman"/>
          <w:b/>
          <w:sz w:val="20"/>
        </w:rPr>
        <w:t xml:space="preserve">Deliveries of our Smart EV and NEV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number of our vehicles delivered to customers in the periods indicated: </w:t>
      </w:r>
    </w:p>
    <w:p>
      <w:pPr>
        <w:pStyle w:val="TextBody"/>
        <w:bidi w:val="0"/>
        <w:spacing w:before="0" w:after="0"/>
        <w:jc w:val="left"/>
        <w:rPr/>
      </w:pPr>
      <w:r>
        <w:rPr/>
        <w:t> </w:t>
      </w:r>
    </w:p>
    <w:tbl>
      <w:tblPr>
        <w:tblW w:w="16423" w:type="dxa"/>
        <w:jc w:val="left"/>
        <w:tblInd w:w="0" w:type="dxa"/>
        <w:tblLayout w:type="fixed"/>
        <w:tblCellMar>
          <w:top w:w="0" w:type="dxa"/>
          <w:left w:w="0" w:type="dxa"/>
          <w:bottom w:w="0" w:type="dxa"/>
          <w:right w:w="0" w:type="dxa"/>
        </w:tblCellMar>
      </w:tblPr>
      <w:tblGrid>
        <w:gridCol w:w="395"/>
        <w:gridCol w:w="120"/>
        <w:gridCol w:w="78"/>
        <w:gridCol w:w="78"/>
        <w:gridCol w:w="884"/>
        <w:gridCol w:w="30"/>
        <w:gridCol w:w="120"/>
        <w:gridCol w:w="63"/>
        <w:gridCol w:w="63"/>
        <w:gridCol w:w="722"/>
        <w:gridCol w:w="27"/>
        <w:gridCol w:w="120"/>
        <w:gridCol w:w="107"/>
        <w:gridCol w:w="107"/>
        <w:gridCol w:w="1218"/>
        <w:gridCol w:w="43"/>
        <w:gridCol w:w="120"/>
        <w:gridCol w:w="103"/>
        <w:gridCol w:w="103"/>
        <w:gridCol w:w="1169"/>
        <w:gridCol w:w="40"/>
        <w:gridCol w:w="120"/>
        <w:gridCol w:w="78"/>
        <w:gridCol w:w="78"/>
        <w:gridCol w:w="884"/>
        <w:gridCol w:w="30"/>
        <w:gridCol w:w="120"/>
        <w:gridCol w:w="63"/>
        <w:gridCol w:w="63"/>
        <w:gridCol w:w="722"/>
        <w:gridCol w:w="27"/>
        <w:gridCol w:w="120"/>
        <w:gridCol w:w="107"/>
        <w:gridCol w:w="107"/>
        <w:gridCol w:w="1218"/>
        <w:gridCol w:w="43"/>
        <w:gridCol w:w="120"/>
        <w:gridCol w:w="103"/>
        <w:gridCol w:w="103"/>
        <w:gridCol w:w="1169"/>
        <w:gridCol w:w="40"/>
        <w:gridCol w:w="120"/>
        <w:gridCol w:w="78"/>
        <w:gridCol w:w="78"/>
        <w:gridCol w:w="884"/>
        <w:gridCol w:w="30"/>
        <w:gridCol w:w="120"/>
        <w:gridCol w:w="60"/>
        <w:gridCol w:w="60"/>
        <w:gridCol w:w="800"/>
        <w:gridCol w:w="23"/>
        <w:gridCol w:w="120"/>
        <w:gridCol w:w="93"/>
        <w:gridCol w:w="93"/>
        <w:gridCol w:w="1251"/>
        <w:gridCol w:w="38"/>
        <w:gridCol w:w="120"/>
        <w:gridCol w:w="89"/>
        <w:gridCol w:w="89"/>
        <w:gridCol w:w="1194"/>
        <w:gridCol w:w="58"/>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08" w:type="dxa"/>
            <w:gridSpan w:val="59"/>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r>
          </w:p>
        </w:tc>
      </w:tr>
      <w:tr>
        <w:trPr/>
        <w:tc>
          <w:tcPr>
            <w:tcW w:w="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March 31,</w:t>
              <w:br/>
              <w:t>2023</w:t>
            </w:r>
          </w:p>
        </w:tc>
        <w:tc>
          <w:tcPr>
            <w:tcW w:w="120" w:type="dxa"/>
            <w:tcBorders/>
            <w:vAlign w:val="center"/>
          </w:tcPr>
          <w:p>
            <w:pPr>
              <w:pStyle w:val="TableContents"/>
              <w:bidi w:val="0"/>
              <w:spacing w:before="0" w:after="283"/>
              <w:jc w:val="left"/>
              <w:rPr/>
            </w:pPr>
            <w:r>
              <w:rPr/>
              <w:t>  </w:t>
            </w:r>
          </w:p>
        </w:tc>
        <w:tc>
          <w:tcPr>
            <w:tcW w:w="8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June 30,</w:t>
              <w:br/>
              <w:t>2023</w:t>
            </w:r>
          </w:p>
        </w:tc>
        <w:tc>
          <w:tcPr>
            <w:tcW w:w="120" w:type="dxa"/>
            <w:tcBorders/>
            <w:vAlign w:val="center"/>
          </w:tcPr>
          <w:p>
            <w:pPr>
              <w:pStyle w:val="TableContents"/>
              <w:bidi w:val="0"/>
              <w:spacing w:before="0" w:after="283"/>
              <w:jc w:val="left"/>
              <w:rPr/>
            </w:pPr>
            <w:r>
              <w:rPr/>
              <w:t>  </w:t>
            </w:r>
          </w:p>
        </w:tc>
        <w:tc>
          <w:tcPr>
            <w:tcW w:w="14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September 30,</w:t>
              <w:br/>
              <w:t>2023</w:t>
            </w:r>
          </w:p>
        </w:tc>
        <w:tc>
          <w:tcPr>
            <w:tcW w:w="120" w:type="dxa"/>
            <w:tcBorders/>
            <w:vAlign w:val="center"/>
          </w:tcPr>
          <w:p>
            <w:pPr>
              <w:pStyle w:val="TableContents"/>
              <w:bidi w:val="0"/>
              <w:spacing w:before="0" w:after="283"/>
              <w:jc w:val="left"/>
              <w:rPr/>
            </w:pPr>
            <w:r>
              <w:rPr/>
              <w:t>  </w:t>
            </w:r>
          </w:p>
        </w:tc>
        <w:tc>
          <w:tcPr>
            <w:tcW w:w="14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c>
          <w:tcPr>
            <w:tcW w:w="120" w:type="dxa"/>
            <w:tcBorders/>
            <w:vAlign w:val="center"/>
          </w:tcPr>
          <w:p>
            <w:pPr>
              <w:pStyle w:val="TableContents"/>
              <w:bidi w:val="0"/>
              <w:spacing w:before="0" w:after="283"/>
              <w:jc w:val="left"/>
              <w:rPr/>
            </w:pPr>
            <w:r>
              <w:rPr/>
              <w:t>  </w:t>
            </w:r>
          </w:p>
        </w:tc>
        <w:tc>
          <w:tcPr>
            <w:tcW w:w="10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120" w:type="dxa"/>
            <w:tcBorders/>
            <w:vAlign w:val="center"/>
          </w:tcPr>
          <w:p>
            <w:pPr>
              <w:pStyle w:val="TableContents"/>
              <w:bidi w:val="0"/>
              <w:spacing w:before="0" w:after="283"/>
              <w:jc w:val="left"/>
              <w:rPr/>
            </w:pPr>
            <w:r>
              <w:rPr/>
              <w:t>  </w:t>
            </w:r>
          </w:p>
        </w:tc>
        <w:tc>
          <w:tcPr>
            <w:tcW w:w="8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June 30,</w:t>
              <w:br/>
              <w:t>2024</w:t>
            </w:r>
          </w:p>
        </w:tc>
        <w:tc>
          <w:tcPr>
            <w:tcW w:w="120" w:type="dxa"/>
            <w:tcBorders/>
            <w:vAlign w:val="center"/>
          </w:tcPr>
          <w:p>
            <w:pPr>
              <w:pStyle w:val="TableContents"/>
              <w:bidi w:val="0"/>
              <w:spacing w:before="0" w:after="283"/>
              <w:jc w:val="left"/>
              <w:rPr/>
            </w:pPr>
            <w:r>
              <w:rPr/>
              <w:t>  </w:t>
            </w:r>
          </w:p>
        </w:tc>
        <w:tc>
          <w:tcPr>
            <w:tcW w:w="14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September 30,</w:t>
              <w:br/>
              <w:t>2024</w:t>
            </w:r>
          </w:p>
        </w:tc>
        <w:tc>
          <w:tcPr>
            <w:tcW w:w="120" w:type="dxa"/>
            <w:tcBorders/>
            <w:vAlign w:val="center"/>
          </w:tcPr>
          <w:p>
            <w:pPr>
              <w:pStyle w:val="TableContents"/>
              <w:bidi w:val="0"/>
              <w:spacing w:before="0" w:after="283"/>
              <w:jc w:val="left"/>
              <w:rPr/>
            </w:pPr>
            <w:r>
              <w:rPr/>
              <w:t>  </w:t>
            </w:r>
          </w:p>
        </w:tc>
        <w:tc>
          <w:tcPr>
            <w:tcW w:w="14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20" w:type="dxa"/>
            <w:tcBorders/>
            <w:vAlign w:val="center"/>
          </w:tcPr>
          <w:p>
            <w:pPr>
              <w:pStyle w:val="TableContents"/>
              <w:bidi w:val="0"/>
              <w:spacing w:before="0" w:after="283"/>
              <w:jc w:val="left"/>
              <w:rPr/>
            </w:pPr>
            <w:r>
              <w:rPr/>
              <w:t>  </w:t>
            </w:r>
          </w:p>
        </w:tc>
        <w:tc>
          <w:tcPr>
            <w:tcW w:w="1070" w:type="dxa"/>
            <w:gridSpan w:val="4"/>
            <w:tcBorders>
              <w:bottom w:val="single" w:sz="8" w:space="0" w:color="000000"/>
            </w:tcBorders>
            <w:tcMar>
              <w:bottom w:w="28" w:type="dxa"/>
            </w:tcMar>
            <w:vAlign w:val="center"/>
          </w:tcPr>
          <w:p>
            <w:pPr>
              <w:pStyle w:val="TableContents"/>
              <w:bidi w:val="0"/>
              <w:spacing w:before="0" w:after="283"/>
              <w:jc w:val="center"/>
              <w:rPr/>
            </w:pPr>
            <w:r>
              <w:rPr>
                <w:b/>
              </w:rPr>
              <w:t>March 31,</w:t>
            </w:r>
            <w:r>
              <w:rPr/>
              <w:br/>
            </w:r>
            <w:r>
              <w:rPr>
                <w:b/>
              </w:rPr>
              <w:t>2025</w:t>
            </w:r>
          </w:p>
        </w:tc>
        <w:tc>
          <w:tcPr>
            <w:tcW w:w="120" w:type="dxa"/>
            <w:tcBorders/>
            <w:vAlign w:val="center"/>
          </w:tcPr>
          <w:p>
            <w:pPr>
              <w:pStyle w:val="TableContents"/>
              <w:bidi w:val="0"/>
              <w:spacing w:before="0" w:after="283"/>
              <w:jc w:val="left"/>
              <w:rPr/>
            </w:pPr>
            <w:r>
              <w:rPr/>
              <w:t>  </w:t>
            </w:r>
          </w:p>
        </w:tc>
        <w:tc>
          <w:tcPr>
            <w:tcW w:w="943" w:type="dxa"/>
            <w:gridSpan w:val="4"/>
            <w:tcBorders>
              <w:bottom w:val="single" w:sz="8" w:space="0" w:color="000000"/>
            </w:tcBorders>
            <w:tcMar>
              <w:bottom w:w="28" w:type="dxa"/>
            </w:tcMar>
            <w:vAlign w:val="center"/>
          </w:tcPr>
          <w:p>
            <w:pPr>
              <w:pStyle w:val="TableContents"/>
              <w:bidi w:val="0"/>
              <w:spacing w:before="0" w:after="283"/>
              <w:jc w:val="center"/>
              <w:rPr/>
            </w:pPr>
            <w:r>
              <w:rPr>
                <w:b/>
              </w:rPr>
              <w:t>June 30,</w:t>
            </w:r>
            <w:r>
              <w:rPr/>
              <w:br/>
            </w:r>
            <w:r>
              <w:rPr>
                <w:b/>
              </w:rPr>
              <w:t>2025</w:t>
            </w:r>
          </w:p>
        </w:tc>
        <w:tc>
          <w:tcPr>
            <w:tcW w:w="120" w:type="dxa"/>
            <w:tcBorders/>
            <w:vAlign w:val="center"/>
          </w:tcPr>
          <w:p>
            <w:pPr>
              <w:pStyle w:val="TableContents"/>
              <w:bidi w:val="0"/>
              <w:spacing w:before="0" w:after="283"/>
              <w:jc w:val="left"/>
              <w:rPr/>
            </w:pPr>
            <w:r>
              <w:rPr/>
              <w:t>  </w:t>
            </w:r>
          </w:p>
        </w:tc>
        <w:tc>
          <w:tcPr>
            <w:tcW w:w="1475" w:type="dxa"/>
            <w:gridSpan w:val="4"/>
            <w:tcBorders>
              <w:bottom w:val="single" w:sz="8" w:space="0" w:color="000000"/>
            </w:tcBorders>
            <w:tcMar>
              <w:bottom w:w="28" w:type="dxa"/>
            </w:tcMar>
            <w:vAlign w:val="center"/>
          </w:tcPr>
          <w:p>
            <w:pPr>
              <w:pStyle w:val="TableContents"/>
              <w:bidi w:val="0"/>
              <w:spacing w:before="0" w:after="283"/>
              <w:jc w:val="center"/>
              <w:rPr/>
            </w:pPr>
            <w:r>
              <w:rPr>
                <w:b/>
              </w:rPr>
              <w:t>September 30,</w:t>
            </w:r>
            <w:r>
              <w:rPr/>
              <w:br/>
            </w:r>
            <w:r>
              <w:rPr>
                <w:b/>
              </w:rPr>
              <w:t>2025</w:t>
            </w:r>
          </w:p>
        </w:tc>
        <w:tc>
          <w:tcPr>
            <w:tcW w:w="120" w:type="dxa"/>
            <w:tcBorders/>
            <w:vAlign w:val="center"/>
          </w:tcPr>
          <w:p>
            <w:pPr>
              <w:pStyle w:val="TableContents"/>
              <w:bidi w:val="0"/>
              <w:spacing w:before="0" w:after="283"/>
              <w:jc w:val="left"/>
              <w:rPr/>
            </w:pPr>
            <w:r>
              <w:rPr/>
              <w:t>  </w:t>
            </w:r>
          </w:p>
        </w:tc>
        <w:tc>
          <w:tcPr>
            <w:tcW w:w="1430" w:type="dxa"/>
            <w:gridSpan w:val="4"/>
            <w:tcBorders>
              <w:bottom w:val="single" w:sz="8" w:space="0" w:color="000000"/>
            </w:tcBorders>
            <w:tcMar>
              <w:bottom w:w="28" w:type="dxa"/>
            </w:tcMar>
            <w:vAlign w:val="center"/>
          </w:tcPr>
          <w:p>
            <w:pPr>
              <w:pStyle w:val="TableContents"/>
              <w:bidi w:val="0"/>
              <w:spacing w:before="0" w:after="283"/>
              <w:jc w:val="center"/>
              <w:rPr/>
            </w:pPr>
            <w:r>
              <w:rPr>
                <w:b/>
              </w:rPr>
              <w:t>December 31,</w:t>
            </w:r>
            <w:r>
              <w:rPr/>
              <w:br/>
            </w:r>
            <w:r>
              <w:rPr>
                <w:b/>
              </w:rPr>
              <w:t>2025</w:t>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18,230</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23,205</w:t>
            </w:r>
          </w:p>
        </w:tc>
        <w:tc>
          <w:tcPr>
            <w:tcW w:w="2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40,008</w:t>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60,158</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21,821</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30,207</w:t>
            </w:r>
          </w:p>
        </w:tc>
        <w:tc>
          <w:tcPr>
            <w:tcW w:w="2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46,533</w:t>
            </w:r>
          </w:p>
        </w:tc>
        <w:tc>
          <w:tcPr>
            <w:tcW w:w="4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91,507</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94,008</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103,181</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116,007</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116,249</w:t>
            </w:r>
          </w:p>
        </w:tc>
        <w:tc>
          <w:tcPr>
            <w:tcW w:w="5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develop most of our key technologies in-house to achieve a rapid pace of innovation and tailor our product offerings for consumers. By developing our proprietary software and hardware technologies, we are able to retain better control over the performance and experience of our Smart EVs and NEVs and have the flexibility to continuously upgrade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ADAS </w:t>
      </w:r>
    </w:p>
    <w:p>
      <w:pPr>
        <w:pStyle w:val="TextBody"/>
        <w:bidi w:val="0"/>
        <w:spacing w:before="120" w:after="0"/>
        <w:jc w:val="left"/>
        <w:rPr>
          <w:rFonts w:ascii="Times New Roman" w:hAnsi="Times New Roman"/>
          <w:sz w:val="20"/>
        </w:rPr>
      </w:pPr>
      <w:r>
        <w:rPr>
          <w:rFonts w:ascii="Times New Roman" w:hAnsi="Times New Roman"/>
          <w:sz w:val="20"/>
        </w:rPr>
        <w:t xml:space="preserve">We have dedicated significant research and development efforts in ADAS technology, which we believe is a key element for the Smart EV and NEV experience. Our research and development capabilities enable us to continuously improve our ADAS and achieve fast system iterations. </w:t>
      </w:r>
    </w:p>
    <w:p>
      <w:pPr>
        <w:pStyle w:val="TextBody"/>
        <w:bidi w:val="0"/>
        <w:spacing w:before="240" w:after="0"/>
        <w:jc w:val="left"/>
        <w:rPr>
          <w:rFonts w:ascii="Times New Roman" w:hAnsi="Times New Roman"/>
          <w:sz w:val="20"/>
        </w:rPr>
      </w:pPr>
      <w:r>
        <w:rPr>
          <w:rFonts w:ascii="Times New Roman" w:hAnsi="Times New Roman"/>
          <w:sz w:val="20"/>
        </w:rPr>
        <w:t xml:space="preserve">In 2021, we rolled out NGP for highway driving and advanced automated parking, or the Valet Parking Assist, as part of our proprietary XPILOT 3.0, through OTA firmware updates. In 2022, we revealed XNGP, which was intended to enable driver assistance in the full spectrum of driving scenarios. When XNGP is activated with a set destination, the vehicle itself can perform a wide range of driving tasks such as cruising, changing lanes, getting around stationary vehicles or obstacles, and navigate through intersections. We started to rollout our XNGP in March 2023, and have made XNGP available in cities without HD map coverage since November 2023. As a result, its geographic coverage has expanded swiftly in China. </w:t>
      </w:r>
    </w:p>
    <w:p>
      <w:pPr>
        <w:pStyle w:val="TextBody"/>
        <w:bidi w:val="0"/>
        <w:spacing w:before="240" w:after="0"/>
        <w:jc w:val="left"/>
        <w:rPr>
          <w:rFonts w:ascii="Times New Roman" w:hAnsi="Times New Roman"/>
          <w:sz w:val="20"/>
        </w:rPr>
      </w:pPr>
      <w:r>
        <w:rPr>
          <w:rFonts w:ascii="Times New Roman" w:hAnsi="Times New Roman"/>
          <w:sz w:val="20"/>
        </w:rPr>
        <w:t xml:space="preserve">In May 2024, we introduced end-to-end model to smart driving, and in July, we upgraded our ADAS to achieve nationwide full-scale availability with no restrictions on cities, routes, or road conditions. In August 2024, we revealed our Hawkeye Visual Solution and made the P7+ launched in November 2024 our first vehicle model equipped with Hawkeye Visual Solution, while our OTA updates in January 2025 empowered other eligible models with the updated ADAS. In March 2026, we commenced the gradual rollout of our latest ADAS, VLA 2.0, to users.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XOS Tianji </w:t>
      </w:r>
    </w:p>
    <w:p>
      <w:pPr>
        <w:pStyle w:val="TextBody"/>
        <w:bidi w:val="0"/>
        <w:spacing w:before="120" w:after="0"/>
        <w:jc w:val="left"/>
        <w:rPr>
          <w:rFonts w:ascii="Times New Roman" w:hAnsi="Times New Roman"/>
          <w:sz w:val="20"/>
        </w:rPr>
      </w:pPr>
      <w:r>
        <w:rPr>
          <w:rFonts w:ascii="Times New Roman" w:hAnsi="Times New Roman"/>
          <w:sz w:val="20"/>
        </w:rPr>
        <w:t xml:space="preserve">XOS Tianji is our next-generation smart in-car operating system, which offers a comprehensive suite of smart in-car functionality that aims to integrate our smart driving capabilities with next-generation smart cabin scenarios and advance the human-machine co-driving experience. It features multi-tasking on a single screen, a customizable XDock, real-time Surrounding Reality (SR) display, all-round safety warnings, and smart voice assistant. We expect XOS Tianji to serve as a sophisticated in-car companion and automotive expert for our consumers’ daily use. In January 2024, we launched the X9, our first model equipped with XOS Tianji. </w:t>
      </w:r>
    </w:p>
    <w:p>
      <w:pPr>
        <w:pStyle w:val="TextBody"/>
        <w:bidi w:val="0"/>
        <w:spacing w:before="240" w:after="0"/>
        <w:jc w:val="left"/>
        <w:rPr>
          <w:rFonts w:ascii="Times New Roman" w:hAnsi="Times New Roman"/>
          <w:sz w:val="20"/>
        </w:rPr>
      </w:pPr>
      <w:r>
        <w:rPr>
          <w:rFonts w:ascii="Times New Roman" w:hAnsi="Times New Roman"/>
          <w:sz w:val="20"/>
        </w:rPr>
        <w:t xml:space="preserve">On May 20, 2024, we introduced an all-domain large language model for smart cockpits. In July 2024, we announced a full scale rollout of the updated in-car OS to all eligible models globally, which adds features such as remote voice control, gesture control, and versatile NFC touch control. In January 2025, we introduced several new features including a personalized operating system that supports multi-language voice controls such as English, French, and Thai.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Powertrain </w:t>
      </w:r>
    </w:p>
    <w:p>
      <w:pPr>
        <w:pStyle w:val="TextBody"/>
        <w:bidi w:val="0"/>
        <w:spacing w:before="120" w:after="0"/>
        <w:jc w:val="left"/>
        <w:rPr>
          <w:rFonts w:ascii="Times New Roman" w:hAnsi="Times New Roman"/>
          <w:sz w:val="20"/>
        </w:rPr>
      </w:pPr>
      <w:r>
        <w:rPr>
          <w:rFonts w:ascii="Times New Roman" w:hAnsi="Times New Roman"/>
          <w:sz w:val="20"/>
        </w:rPr>
        <w:t xml:space="preserve">Powertrain plays a critical role in our ability to deliver safe and high-performance EVs at competitive prices. The powertrain of our Smart EV and NEV consists of the battery system, electric drive system, high voltage system and vehicle control unit, or VCU. Leveraging our superior in-house research and development capabilities, we are able to differentiate our Smart EVs and NEVs in key powertrain features, such as charging efficiency, battery safety, range, noise, drivability and digitization. The powertrain’s ECUs are amenable to OTA firmware updates, which enable us to improve the powertrain’s functions and customer experience after delivery. </w:t>
      </w:r>
    </w:p>
    <w:p>
      <w:pPr>
        <w:pStyle w:val="TextBody"/>
        <w:bidi w:val="0"/>
        <w:spacing w:before="240" w:after="0"/>
        <w:jc w:val="left"/>
        <w:rPr>
          <w:rFonts w:ascii="Times New Roman" w:hAnsi="Times New Roman"/>
          <w:sz w:val="20"/>
        </w:rPr>
      </w:pPr>
      <w:r>
        <w:rPr>
          <w:rFonts w:ascii="Times New Roman" w:hAnsi="Times New Roman"/>
          <w:sz w:val="20"/>
        </w:rPr>
        <w:t xml:space="preserve">The battery system of our Smart EV and NEV utilizes high-energy density battery cells. We utilize lithium nickel manganese cobalt oxide, or NCM, cells and LFP cells for our batteries. Through our research and development efforts, we seek to enhance the energy density of the battery pack and reduce its cost, while also maintaining its safety, reliability and longevity. </w:t>
      </w:r>
    </w:p>
    <w:p>
      <w:pPr>
        <w:pStyle w:val="TextBody"/>
        <w:bidi w:val="0"/>
        <w:spacing w:before="240" w:after="0"/>
        <w:jc w:val="left"/>
        <w:rPr>
          <w:rFonts w:ascii="Times New Roman" w:hAnsi="Times New Roman"/>
          <w:sz w:val="20"/>
        </w:rPr>
      </w:pPr>
      <w:r>
        <w:rPr>
          <w:rFonts w:ascii="Times New Roman" w:hAnsi="Times New Roman"/>
          <w:sz w:val="20"/>
        </w:rPr>
        <w:t xml:space="preserve">We rolled out our powertrain system using 800V high-voltage SiC platform on the debut of the G9 in September 2022. As a result, the G9 demonstrated greater energy utilization efficiency and charging efficiency compared to other EVs built on a 400V platform. In addition, we launched the X9 EREV in 2025, our first EREV model, which features 5C ultra-fast-charging and 800V high-voltage SiC platform, demonstrating great energy utilization efficiency and resolves range anxiety.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 2.0 </w:t>
      </w:r>
    </w:p>
    <w:p>
      <w:pPr>
        <w:pStyle w:val="TextBody"/>
        <w:bidi w:val="0"/>
        <w:spacing w:before="120" w:after="0"/>
        <w:jc w:val="left"/>
        <w:rPr>
          <w:rFonts w:ascii="Times New Roman" w:hAnsi="Times New Roman"/>
          <w:sz w:val="20"/>
        </w:rPr>
      </w:pPr>
      <w:r>
        <w:rPr>
          <w:rFonts w:ascii="Times New Roman" w:hAnsi="Times New Roman"/>
          <w:sz w:val="20"/>
        </w:rPr>
        <w:t xml:space="preserve">In April 2023, we unveiled our next-generation technology architecture SEPA 2.0 (Smart Electric Platform Architecture). SEPA 2.0 brought a series of more advanced architectural solutions, from our in-house development autonomous driving software to vehicle engineering. SEPA 2.0 is expected to accelerate our R&amp;D cycle and optimize R&amp;D efficiency and enable us to meet the diverse customer needs at optimized costs. </w:t>
      </w:r>
    </w:p>
    <w:p>
      <w:pPr>
        <w:pStyle w:val="TextBody"/>
        <w:bidi w:val="0"/>
        <w:spacing w:before="240" w:after="0"/>
        <w:jc w:val="left"/>
        <w:rPr>
          <w:rFonts w:ascii="Times New Roman" w:hAnsi="Times New Roman"/>
          <w:sz w:val="20"/>
        </w:rPr>
      </w:pPr>
      <w:r>
        <w:rPr>
          <w:rFonts w:ascii="Times New Roman" w:hAnsi="Times New Roman"/>
          <w:sz w:val="20"/>
        </w:rPr>
        <w:t xml:space="preserve">SEPA 2.0 is adaptable and flexible with multiple vehicle platforms for wheelbases between 1,800 mm and 3,200 mm and scalable to support a variety of vehicle types. SEPA 2.0 integrates various features, including smart technology, powertrain, and advanced manufacturing (front and rear integrated aluminum body die-casting technology, Cell Integrated Body (CIB) technology). </w:t>
      </w:r>
    </w:p>
    <w:p>
      <w:pPr>
        <w:pStyle w:val="TextBody"/>
        <w:bidi w:val="0"/>
        <w:spacing w:before="240" w:after="0"/>
        <w:jc w:val="left"/>
        <w:rPr>
          <w:rFonts w:ascii="Times New Roman" w:hAnsi="Times New Roman"/>
          <w:sz w:val="20"/>
        </w:rPr>
      </w:pPr>
      <w:r>
        <w:rPr>
          <w:rFonts w:ascii="Times New Roman" w:hAnsi="Times New Roman"/>
          <w:sz w:val="20"/>
        </w:rPr>
        <w:t xml:space="preserve">We started delivery of the G6, our first new production model built on SEPA 2.0 in July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We seek to cost-efficiently expand our customer reach and grow sales. We had a total of 721 stores, covering 255 cities in China as of December 31, 2025. These stores in our sales network include both stores directly operated by us and franchised stores. </w:t>
      </w:r>
    </w:p>
    <w:p>
      <w:pPr>
        <w:pStyle w:val="TextBody"/>
        <w:bidi w:val="0"/>
        <w:spacing w:before="240" w:after="0"/>
        <w:jc w:val="left"/>
        <w:rPr>
          <w:rFonts w:ascii="Times New Roman" w:hAnsi="Times New Roman"/>
          <w:sz w:val="20"/>
        </w:rPr>
      </w:pPr>
      <w:r>
        <w:rPr>
          <w:rFonts w:ascii="Times New Roman" w:hAnsi="Times New Roman"/>
          <w:sz w:val="20"/>
        </w:rPr>
        <w:t xml:space="preserve">While currently we primarily sell products and services in China’s market, we also made positive progress in overseas markets since we delivered the first batch of G3 to Norway in December 2020. Our footprint currently extended across multiple continents, including multiple countries or regions in Europe, Asia and other continents. </w:t>
      </w:r>
    </w:p>
    <w:p>
      <w:pPr>
        <w:pStyle w:val="TextBody"/>
        <w:bidi w:val="0"/>
        <w:spacing w:before="360" w:after="0"/>
        <w:jc w:val="left"/>
        <w:rPr>
          <w:rFonts w:ascii="Times New Roman" w:hAnsi="Times New Roman"/>
          <w:b/>
          <w:sz w:val="20"/>
        </w:rPr>
      </w:pPr>
      <w:r>
        <w:rPr>
          <w:rFonts w:ascii="Times New Roman" w:hAnsi="Times New Roman"/>
          <w:b/>
          <w:sz w:val="20"/>
        </w:rPr>
        <w:t xml:space="preserve">Comprehensive Services </w:t>
      </w:r>
    </w:p>
    <w:p>
      <w:pPr>
        <w:pStyle w:val="TextBody"/>
        <w:bidi w:val="0"/>
        <w:spacing w:before="120" w:after="0"/>
        <w:jc w:val="left"/>
        <w:rPr>
          <w:rFonts w:ascii="Times New Roman" w:hAnsi="Times New Roman"/>
          <w:sz w:val="20"/>
        </w:rPr>
      </w:pPr>
      <w:r>
        <w:rPr>
          <w:rFonts w:ascii="Times New Roman" w:hAnsi="Times New Roman"/>
          <w:sz w:val="20"/>
        </w:rPr>
        <w:t xml:space="preserve">We offer our customers a comprehensive suite of charging solutions and after-sales services, as well as various value-added services. These services offer our customers a convenient experience and enable full lifecycle engagement with our customers, which in turn improves their loyalty.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Charging Solutions </w:t>
      </w:r>
    </w:p>
    <w:p>
      <w:pPr>
        <w:pStyle w:val="TextBody"/>
        <w:bidi w:val="0"/>
        <w:spacing w:before="120" w:after="0"/>
        <w:jc w:val="left"/>
        <w:rPr>
          <w:rFonts w:ascii="Times New Roman" w:hAnsi="Times New Roman"/>
          <w:sz w:val="20"/>
        </w:rPr>
      </w:pPr>
      <w:r>
        <w:rPr>
          <w:rFonts w:ascii="Times New Roman" w:hAnsi="Times New Roman"/>
          <w:sz w:val="20"/>
        </w:rPr>
        <w:t xml:space="preserve">We aim to offer our customers a convenient charging experience by giving them access to a wide and expanding charging network in a cost-efficient manner. Our customers can choose to charge their EVs using home chargers, XPENG self-operated charging station network, or third-party charging stations. We will continue to expand the XPENG self-operated charging station network coverage, to provide greater accessibility and enhanced charging experience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2022, we launched seven 480kW S4 supercharging stations in five cities in China. Our S4 and S5 supercharging stations significantly shortened the charging time for our customers with the models that are equipped with 800V high-voltage platform. Moreover, the 5C ultra-fast-charging intelligent battery, which is available on most of our models, further reduces the charging time and enhances the overall safety performance. As of December 31, 2025, XPENG self-operated charging station network further expanded to 3,159 stations, including 2,654 XPENG self-operated supercharging stations and 505 destination charging stations. Our S4 and S5 supercharging stations have covered 222 cities in China, including all of the tier-1 and the new tier-1 cities.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5, 2025, we and the Volkswagen Group China announced a Memorandum of Understanding (MOU) to jointly build charging networks in China. Over 20,000 charging piles operated by both parties across 420 cities in China will be accessible to customers of both us and Volkswagen Group China. Both parties will also jointly explore the cooperation on co-branded super-fast charging stations, accelerating the expansion of charging networks and enhancing the charging experience for customers. Furthermore, on January 14, 2025, we and BP Pulse announced the signing of a Memorandum of Understanding (MOU) to establish a strategic partnership. This collaboration enables reciprocal access to our respective charging networks and aims to offer customers access to over 30,000 charging piles across 420 cities in China. We are one of the EV companies that have established self-operated charging networks in China, and we will continue to expand the network of our charging stations through XPENG self-operated charging stations and strategic partnerships to better serve our customers.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we and Charge+ have officially announced a strategic partnership to enable long distance driving for EVs by building a network of high-powered supercharging hubs across Southeast Asia, including Singapore, Malaysia, and Thailand.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After-Sales Services and Warranty </w:t>
      </w:r>
    </w:p>
    <w:p>
      <w:pPr>
        <w:pStyle w:val="TextBody"/>
        <w:bidi w:val="0"/>
        <w:spacing w:before="120" w:after="0"/>
        <w:jc w:val="left"/>
        <w:rPr>
          <w:rFonts w:ascii="Times New Roman" w:hAnsi="Times New Roman"/>
          <w:sz w:val="20"/>
        </w:rPr>
      </w:pPr>
      <w:r>
        <w:rPr>
          <w:rFonts w:ascii="Times New Roman" w:hAnsi="Times New Roman"/>
          <w:sz w:val="20"/>
        </w:rPr>
        <w:t xml:space="preserve">We provide efficient after-sales services both offline and online. Offline services are available at our service centers and cover repairs and maintenance for our Smart EVs and NEVs. We also provide online after-sales services, which are enabled by our cloud capabilities and high-speed connectivity of our Smart EVs and NEVs. Our system is able to monitor vehicle performance status in real time, remotely diagnose certain vehicle malfunctions and potential issues and recommend solutions to prevent problems. Certain software-related issues can be resolved remotely through OTA updates. In addition, we have developed an intelligent remote diagnosis system, which detects potential system error before it occurs to ensure vehicle safety. We also offer competitive warranty terms for our Smart EVs and NEVs.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Services </w:t>
      </w:r>
    </w:p>
    <w:p>
      <w:pPr>
        <w:pStyle w:val="TextBody"/>
        <w:bidi w:val="0"/>
        <w:spacing w:before="120" w:after="0"/>
        <w:jc w:val="left"/>
        <w:rPr>
          <w:rFonts w:ascii="Times New Roman" w:hAnsi="Times New Roman"/>
          <w:sz w:val="20"/>
        </w:rPr>
      </w:pPr>
      <w:r>
        <w:rPr>
          <w:rFonts w:ascii="Times New Roman" w:hAnsi="Times New Roman"/>
          <w:sz w:val="20"/>
        </w:rPr>
        <w:t xml:space="preserve">We also offer the following services.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Insurance Technology Support</w:t>
            </w:r>
            <w:r>
              <w:rPr>
                <w:rFonts w:ascii="Times New Roman" w:hAnsi="Times New Roman"/>
                <w:sz w:val="20"/>
              </w:rPr>
              <w:t xml:space="preserve">. We provide technology support to our customers who purchased our Smart EVs and NEVs so they may readily obtain automotive insurance from insurance companies. To offer a convenient experience, we leverage some intelligent functions with patented technology to help customers to quickly make insurance claims. In April 2023, GIIA, a Group VIE as an insurance intermediary with qualifications for nationwide sale of insurance products, collection of insurance premiums, investigation and settlement of losses on an agency basis, started operating and entered into cooperation agreements with certain mainstream insurance companies. We also announced strategic cooperation relationships with leading insurance companies to explore insurance products and services in relation to ADAS.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Automotive loan referral and auto financing</w:t>
            </w:r>
            <w:r>
              <w:rPr>
                <w:rFonts w:ascii="Times New Roman" w:hAnsi="Times New Roman"/>
                <w:sz w:val="20"/>
              </w:rPr>
              <w:t xml:space="preserve">. We cooperate with financial institutions and connect them with customers who seek automotive financing solutions. To complement services of these financial institutions, we also offer auto financing to our customers through a wholly-owned subsidiary. Such auto financing program is treated as an installment payment program for accounting purposes and the Group records the relevant installment payment receivables on its balance sheets.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Strategic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July 26, 2023, we and the Volkswagen Group entered into the VW Technical Framework Agreement on strategic technical collaboration and the VW Share Purchase Agreement for strategic minority investment by the Volkswagen Group in us. Pursuant to the VW Technical Framework Agreement, we and the Volkswagen Group will cooperate on joint development of the two B-class battery electric vehicles models for sale in the Chinese market under Volkswagen brand, leveraging respective core competencies and our G9 platform and connectivity and ADAS software. Pursuant to the VW Share Purchase Agreement, on December 6, 2023, we completed the issuance of an aggregate of 94,079,255 Class A ordinary shares to Volkswagen Nominee for approximately US$705.6 million. Furthermore, on February 29, 2024, we and the Volkswagen Group announced to have entered into a Master Agreement on Platform and Software Strategic Technical Collaboration (the “Master Agreement on Strategic Technical Collaboration”), to jointly develop two B-class battery electric vehicles. As part of the Master Agreement, we and the Volkswagen Group have also entered into a joint sourcing program for the common parts of vehicles and platform that used by both parties. On April 17, 2024, we and the Volkswagen Group have entered into a framework agreement on technical collaboration with respect to Electrical/Electronic architecture. Under the E/E Architecture technical collaboration, we and the Volkswagen Group will jointly develop and integrate our latest generation of E/E Architecture to Volkswagen’s China Main Platform (CMP) in China. The jointly developed E/E Architecture is expected to equip Volkswagen brand electric vehicles produced in China from 2026. On July 22, 2024, we and the Volkswagen Group announced to have entered into a Master Agreement on E/E Collaboration to jointly develop E/E Architecture for all locally produced vehicles based on Volkswagen’s China Main Platform (CMP) and Modular Electric Drive Matrix (MEB) platform. On January 5, 2025, we and the Volkswagen Group China announced a Memorandum of Understanding (MOU) to jointly build charging networks in China. Over 20,000 charging piles operated by both parties across 420 cities in China will be accessible to customers of both us and Volkswagen Group China. Both parties will also jointly explore the cooperation on co-branded super-fast charging stations, accelerating the expansion of charging networks and enhancing the charging experience for customers. On August 15, 2025, we and the Volkswagen Group announced that both parties have entered into an Agreement on Expanding E/E Architecture Technical Collaboration (the “Expanded Technical Collaboration”). The signing of this agreement marks that the E/E Architecture will be not only integrated into Volkswagen’s electric vehicle platforms, but also deployed across its Internal Combustion Engine (ICE) and Plug-in Hybrid Electric Vehicle (PHEV) platforms in China, thereby significantly expanding the strategic technical collaboration to broader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27, 2023, we entered into a share purchase agreement with DiDi and Da Vinci Auto Co. Limited, a wholly-owned subsidiary of DiDi, to acquire, in consideration for the Company’s newly issued Class A ordinary shares, the entire issued share capital of Xiaoju Smart Auto Co. Limited, which, together with its subsidiaries, is contemplated to be able to operate the smart auto development business previously conducted by DiDi. We and DiDi simultaneously entered into the DiDi Strategic Cooperation Agreement to embark on cooperation in various areas, including the research and development of the new Smart EV model, operation of the Company’s Smart EV models on DiDi’s ride sharing platform, marketing, financial and insurance services, charging, Robotaxi and the joint development of international markets. On November 13, 2023, upon the initial closing of the DiDi Share Purchase Agreement, we issued 58,164,217 Class A ordinary shares to DiDi, and DiDi’s smart auto development business became wholly owned by us and its financial results have been consolidated into our consolidated financial statements. On August 13, 2024, upon the SOP closing of the DiDi Share Purchase Agreement, we issued 4,636,447 Class A ordinary shares to DiDi, and started to deliver MONA M03 in the same month. We may issue additional Class A ordinary shares to DiDi under the DiDi Share Purchase Agreement upon satisfaction of certain milestones under such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Our manufacturing philosophy centers on quality, continuous improvement, flexibility and high operating efficiency. We take a lean production approach, with the aim of continuous optimization in operating efficiency and product quality. We currently mainly manufacture our vehicles at our own Zhaoqing and Guangzhou plants. In addition, as of March 31, 2026, the construction of our new manufacturing base in Wuhan has been completed, which had obtained the property ownership certificate upon completion of the inspection and acceptance procedures conducted by relevant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With the development of our international expansion, we strategically collaborate with third-party manufacturers in certain overseas markets to support localized production. For instance, we have engaged local manufacturing partners and initiated localized production projects in 2025 in Europe and Southeast Asia. We may continue to expand such arrangements as our international operations grow.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complying with applicable data protection laws and protecting the security of personal data. We mainly collect and store data relating to the usage of the ADAS system, infotainment system, as well as data collected through our sales and services channels. Such data primarily includes, among others, name, contact information and payment information. In addition, we also collect vehicle data of our Smart EVs and NEVs, including, among others, vehicle condition, location information, assisted driving information, charging status, maintenance status, as well as information of the in-car infotainment system, such as information relating to smart voice assistant, smart navigation, music, data traffic and third-party apps. Such data is collected in accordance with applicable data protection laws and regulations. Our privacy policy, which is provided to every customer, describes our data processing activities. Specifically, we undertake to manage and use the data collected from customers in accordance with applicable laws and make reasonable efforts to prevent unauthorized use, loss, or leakage of customer data and will not disclose sensitive customer data to any third party without appropriate and necessary business needs, except under legal requirement or certain circumstances specified in the customer consent. We implement data security measures, for instance, access control and identity verification. We strictly limit and monitor employee access to customer personal data. We provide data privacy and information security training to these employees and require them to report any information security breach. Our business partners may have access to the data collected within the scope of their service. We take various measures, such as entering into separate confidentiality agreements or data protection agreements with our business partners, adopting necessary data security measures such as encryption, to protect such data. </w:t>
      </w:r>
    </w:p>
    <w:p>
      <w:pPr>
        <w:pStyle w:val="TextBody"/>
        <w:bidi w:val="0"/>
        <w:spacing w:before="240" w:after="0"/>
        <w:jc w:val="left"/>
        <w:rPr>
          <w:rFonts w:ascii="Times New Roman" w:hAnsi="Times New Roman"/>
          <w:sz w:val="20"/>
        </w:rPr>
      </w:pPr>
      <w:r>
        <w:rPr>
          <w:rFonts w:ascii="Times New Roman" w:hAnsi="Times New Roman"/>
          <w:sz w:val="20"/>
        </w:rPr>
        <w:t xml:space="preserve">We use a variety of technologies to protect the data with which we are entrusted. For example, we segregate our internal databases and operating systems from our external-facing services and intercept unauthorized access. We anonymize personal data by removing personally identifiable information, when such information is not relevant to our business. We encrypt personal data in transit, using sophisticated security protocols to ensure the integrity and confidentiality. We back up our personal data and operating data on a regular basis in separate back-up systems to minimize the risk of customer data loss or leakage. Whenever an issue related to data privacy is discovered, we take prompt actions to upgrade our system and mitigate any potential problems that may undermine the security of our system. We also have a dedicated privacy and security team and a Data Protection Officer responsible for data protection. We believe our policies and practice with respect to data privacy and security are in compliance with applicable laws and prevalent industry practice in all material aspects.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have strategically focused on offering Smart EVs and NEVs for the mid- to high-end segment of the global passenger vehicle market. We directly compete with (i) other EVs, including pure play EVs, and NEVs, which include plug-in hybrid electric vehicles, hybrid electric vehicles and fuel cell electric vehicles, especially those targeting the mid- to high-end segment, and (ii) ICE vehicles in the mid- to high-end segment offered by traditional OEMs. Furthermore, traditional OEMs that have strong brand recognition, substantial financial resources, sophisticated engineering capabilities and established sales channels may shift their focus towards the EV market in the future. We believe that our competitive advantage over existing and potential competitors lies in our innovative product offerings localized for consumers in China, ability to offer a great-to-drive and great-to-be-driven experience, robust software and hardware technologies, scalable and efficient platforms and our winning Smart EV and NEV team.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number of proprietary systems and technologies, and our success depends on our ability to protect our core technology and intellectual property. We utilize a combination of patents, trademarks, copyrights, trade secrets and confidentiality policies to protect our proprietary rights.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2024 and 2025, we had a total of 13,550, 15,364 and 19,884 employees, respectively. The following table sets forth a breakdown of our employees categorized by function as of December 31, 2025.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240"/>
        <w:gridCol w:w="120"/>
        <w:gridCol w:w="91"/>
        <w:gridCol w:w="1039"/>
        <w:gridCol w:w="60"/>
        <w:gridCol w:w="120"/>
        <w:gridCol w:w="137"/>
        <w:gridCol w:w="1008"/>
        <w:gridCol w:w="75"/>
      </w:tblGrid>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b/>
              </w:rPr>
            </w:pPr>
            <w:r>
              <w:rPr>
                <w:b/>
              </w:rPr>
              <w:t>Function</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Employees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to Total</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27.7%</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4,783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24.1%</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administration</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19,884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b/>
              </w:rPr>
            </w:pPr>
            <w:r>
              <w:rPr>
                <w:b/>
              </w:rPr>
              <w:t>100%</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03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19,499 of our employees were based in Chinese Mainland or Hong Kong, and 385 of our employees were based overseas. </w:t>
      </w:r>
    </w:p>
    <w:p>
      <w:pPr>
        <w:pStyle w:val="TextBody"/>
        <w:bidi w:val="0"/>
        <w:spacing w:before="240" w:after="0"/>
        <w:jc w:val="left"/>
        <w:rPr>
          <w:rFonts w:ascii="Times New Roman" w:hAnsi="Times New Roman"/>
          <w:sz w:val="20"/>
        </w:rPr>
      </w:pPr>
      <w:r>
        <w:rPr>
          <w:rFonts w:ascii="Times New Roman" w:hAnsi="Times New Roman"/>
          <w:sz w:val="20"/>
        </w:rPr>
        <w:t xml:space="preserve">We believe we offer our employees competitive compensation packages and a dynamic work environment that encourages initiative and is based on merit. As a result, we have been able to attract and retain talented personnel.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PRC regulations, we participate in various government statutory employee benefit plans, including social insurance, namely pension insurance, medical insurance, unemployment insurance, work-related injury insurance and maternity insurance, and housing funds. We are required under PRC law to make contributions to employee benefit plans at specified percentages of the salaries, bonuses and certain allowances of our employees, up to a maximum amount specified by the local government regulations from time to time. In addition, we purchased additional commercial health insurance to increase insurance coverage of our employees. Historically, we have offered and sold our Smart EVs to our employees at discounts. We enter into standard labor, confidentiality and non-compete agreements with our employees. The non-compete restricted period typically expires within two years after the termination of employment, and we agree to compensate the employee with a certain percentage of his or her pre-departure salary during the restricted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we maintain a good working relationship with our employees, and we have not experienced any major labor disputes causing material negative publicity.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We own land use rights with respect to a parcel of land of over 600,000 square meters in Zhaoqing, Guangdong Province, and such land use rights expire in 2067. We have constructed our Zhaoqing plant on this parcel of land, and the plant has an approved construction area of over 440,000 square meters. We purchased land use rights with respect to an additional parcel of land of over 370,000 square meters in Zhaoqing, Guangdong Province with a construction area of over 220,000 square meters, and such land use rights expire in 2070. In 2024, we acquired another parcel of land of 9,100 square meters in Zhaoqing. </w:t>
      </w:r>
    </w:p>
    <w:p>
      <w:pPr>
        <w:pStyle w:val="TextBody"/>
        <w:bidi w:val="0"/>
        <w:spacing w:before="240" w:after="0"/>
        <w:jc w:val="left"/>
        <w:rPr>
          <w:rFonts w:ascii="Times New Roman" w:hAnsi="Times New Roman"/>
          <w:sz w:val="20"/>
        </w:rPr>
      </w:pPr>
      <w:r>
        <w:rPr>
          <w:rFonts w:ascii="Times New Roman" w:hAnsi="Times New Roman"/>
          <w:sz w:val="20"/>
        </w:rPr>
        <w:t xml:space="preserve">We also own land use rights with respect to a parcel of land of over 63,000 square meters in Guangzhou, Guangdong Province, and such land use rights expire in 2070. We have constructed our manufacturing facility, which is used as our Intelligent Manufacturing Innovation Center on this parcel of land, and the plant has a construction area of over 117,000 square meters. We also own land use rights with respect to a parcel of land of over 68,000 square meters with respect to our technology park in Guangzhou, Guangdong Province, and such land use rights expire in 2061.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own land use rights with respect to a parcel of land of over 1,000,000 square meters in Wuhan, Hubei Province, and such land use rights do not expire until 2072 or at a later time. We have commenced the construction of a new manufacturing base on this parcel of land in July 2021. As of March 31, 2026, the construction of our new manufacturing base in Wuhan has been completed, which had obtained the property ownership certificate upon completion of the inspection and acceptance procedures conducted by relevant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certain manufacturing buildings of Guangzhou and Zhaoqing plants and the land use right of the Wuhan base, Zhaoqing and Guangzhou plants and Guangzhou Xiaopeng Technology Park, and the equipment of Wuhan base were secured for the long-term bank loans with a total appraised value of RMB5.80 billion.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number of leased properties. Our Guangzhou plant is located in Guangzhou, Guangdong Province, where we lease over 1,100,000 square meters of land with 974,000 square meters of construction area. In addition, we lease a number of properties in Beijing, Shanghai and Shenzhen as well as in Silicon Valley and San Diego in the United States, primarily for research and development. We also lease a number of facilities for our direct stores, self-operated charging stations and logistics centers across China and several flexible workspaces or co-working spaces in overseas countries and regions.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add new facilities or expand our existing facilities as we scale up our business operation. We believe that suitable additional or alternative space will be available in the future on commercially reasonable terms to accommodate our foreseeable future expansion.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We maintain property insurance, public liability insurance and driver’s liability insurance. Pursuant to PRC regulations, we provide social insurance including pension insurance, unemployment insurance, work-related injury insurance and medical insurance for our employees based in China. We also purchase additional commercial health insurance to increase insurance coverage of our employees. We do not maintain business interruption insurance or key-man insurance. We believe that our insurance coverage is in line with the industry and adequate to cover our key assets, facilities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not a party to any material legal or administrative proceedings. We may from time to time be subject to various legal or administrative claims and proceedings arising from the ordinary course of business. Litigation or any other legal or administrative proceeding, regardless of the outcome, is likely to result in substantial cost and diversion of our resources, including our management’s time and attention. </w:t>
      </w:r>
    </w:p>
    <w:p>
      <w:pPr>
        <w:pStyle w:val="TextBody"/>
        <w:bidi w:val="0"/>
        <w:spacing w:before="360" w:after="0"/>
        <w:jc w:val="left"/>
        <w:rPr>
          <w:rFonts w:ascii="Times New Roman" w:hAnsi="Times New Roman"/>
          <w:b/>
          <w:sz w:val="20"/>
        </w:rPr>
      </w:pPr>
      <w:r>
        <w:rPr>
          <w:rFonts w:ascii="Times New Roman" w:hAnsi="Times New Roman"/>
          <w:b/>
          <w:sz w:val="20"/>
        </w:rPr>
        <w:t xml:space="preserve">Raw Materials and Suppliers </w:t>
      </w:r>
    </w:p>
    <w:p>
      <w:pPr>
        <w:pStyle w:val="TextBody"/>
        <w:bidi w:val="0"/>
        <w:spacing w:before="120" w:after="0"/>
        <w:jc w:val="left"/>
        <w:rPr>
          <w:rFonts w:ascii="Times New Roman" w:hAnsi="Times New Roman"/>
          <w:sz w:val="20"/>
        </w:rPr>
      </w:pPr>
      <w:r>
        <w:rPr>
          <w:rFonts w:ascii="Times New Roman" w:hAnsi="Times New Roman"/>
          <w:sz w:val="20"/>
        </w:rPr>
        <w:t xml:space="preserve">We incur significant costs related to procuring components and raw materials required to manufacture our Smart EVs and NEVs. We use various components and raw materials in our business, such as steel and aluminum, as well as lithium battery cells, millimeter-wave radar, or mmWave radar, and semiconductors. The prices for these components and materials fluctuate, and their available supply may be unstable, depending on market conditions and global demand for these materials, and thus our business and operating results are subject to variability in the cost and availability of these components and materials. See “Item 3. Key Information—D. Risk Factors—Risks Relating to Our Business and Industry—Increases in costs, disruption of supply or shortage of components and materials could have a material adverse impact on our business.” and “Item 3. Key Information—D. Risk Factors—Risks Relating to Our Business and Industry—We are dependent on our suppliers, some of which are single-source suppliers. Suppliers may fail to deliver necessary components of our Smart EVs and NEVs according to our schedule and at prices, quality levels and volumes acceptable to us.” </w:t>
      </w:r>
    </w:p>
    <w:p>
      <w:pPr>
        <w:pStyle w:val="TextBody"/>
        <w:bidi w:val="0"/>
        <w:spacing w:before="240" w:after="0"/>
        <w:jc w:val="left"/>
        <w:rPr>
          <w:rFonts w:ascii="Times New Roman" w:hAnsi="Times New Roman"/>
          <w:sz w:val="20"/>
        </w:rPr>
      </w:pPr>
      <w:r>
        <w:rPr>
          <w:rFonts w:ascii="Times New Roman" w:hAnsi="Times New Roman"/>
          <w:sz w:val="20"/>
        </w:rPr>
        <w:t xml:space="preserve">We procure components from both domestic suppliers and global suppliers, and choose suppliers based on a variety of factors, such as technological expertise, product quality, manufacturing capacity, price and market reputation. To improve cost efficiency and control supply chain risk, a majority of our components are purchased in China.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sets forth a summary of the most significant rules and regulations that affect our business activities in China or the rights of our shareholders to receive dividends and other distributions from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Permissions and Approvals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all requisite permissions and approvals that are material to the Group’s operations in China as of the date hereof, including Zhaoqing Xiaopeng New Energy, and our Smart EVs and NEVs (the MONA M03, the Next P7, the P7+ (including the P7+ EREV), the G6 (including the G6 EREV), the G7 (including the G7 EREV), the G9, the X9 (including the X9 EREV)) being listed in the Announcement of the Vehicle Manufacturers and Products issued by the Ministry of Industry and Information Technology of PRC, or the MIIT, which is the entry approval for Zhaoqing Xiaopeng New Energy to become a qualified manufacturer for the manufacturing and sales of our Smart EVs and NEVs. Given the significant amount of discretion held by local PRC authorities in interpreting, implementing and enforcing relevant rules and regulations, as well as other factors beyond our control, we cannot assure you that we have obtained or will be able to obtain and maintain all requisite licenses, permits, filings and registrations. See “Item 3. Key Information—D. Risk Factors—Risks Relating to Our Business and Industry—Certain of our operating subsidiaries may be required to obtain additional licenses or permits or make additional filings or registrations.”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PRC authorities have promulgated new or proposed laws and regulations to further regulate securities offerings that are conducted overseas by China-based issuers. For more detailed information, see “Item 4. Information on the Company—B. Business Overview—Regulation—Regulations on M&amp;A Rules and Overseas Listings” and “Item 4. Information on the Company—B. Business Overview—Regulation—Regulation Related to Internet Security and Privacy Protection”. According to these new laws and regulations, if enacted in their current forms, in connection with our future offshore offering activities, we may be required to fulfill filing, reporting procedures with or obtain approval from the CSRC, and may be required to go through cybersecurity review by the PRC authorities. However, we cannot assure you that we can obtain the required approval or accomplish the required filing or other regulatory procedures in a timely manner, or at all. See “Item 3. Key Information—D. Risk Factors—Risks Relating to Our Business and Industry—Actual or alleged failure to comply with laws, regulations, rules, policies and other obligations regarding privacy, data protection, cybersecurity and information security could subject us to significant reputational, financial, legal and operational consequences,” “Item 3. Key Information—D. Risk Factors—Risks Relating to Doing Business in China—Changes and developments in the PRC legal system and the interpretation and enforcement of PRC laws, rules and regulations may subject us to uncertainties.” and “Item 3. Key Information—D. Risk Factors—Risks Relating to Our Corporate Structure—Uncertainties exist with respect to the interpretation and implementation of the Foreign Investment Law and its implementing rules and how they may impact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Corporate Governance and Foreign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establishment, operation and management of companies in China are mainly governed by the PRC Company Law, which was issued by the Standing Committee of the National People’s Congress and was last amended in December 2023. The revised PRC Company Law took effect in July 2024. Among other things, the law stipulates that the subscribed capital contributions in a limited liability company must be fully paid by the shareholders within five years of the incorporation date of such company. The Provisions on Implementing the Registered Capital Registration and Management System under the PRC Company Law promulgated by the State Council in July 2024 further set out some transitional arrangements for companies established prior to June 30, 2024. The PRC Company Law applies to both PRC domestic companies and foreign-invested companies. </w:t>
      </w:r>
    </w:p>
    <w:p>
      <w:pPr>
        <w:pStyle w:val="TextBody"/>
        <w:bidi w:val="0"/>
        <w:spacing w:before="240" w:after="0"/>
        <w:jc w:val="left"/>
        <w:rPr>
          <w:rFonts w:ascii="Times New Roman" w:hAnsi="Times New Roman"/>
          <w:sz w:val="20"/>
        </w:rPr>
      </w:pPr>
      <w:r>
        <w:rPr>
          <w:rFonts w:ascii="Times New Roman" w:hAnsi="Times New Roman"/>
          <w:sz w:val="20"/>
        </w:rPr>
        <w:t xml:space="preserve">On March 15, 2019, the National People’s Congress approved the Foreign Investment Law, and on December 26, 2019, the State Council promulgated the Implementing Rules of the Foreign Investment Law, or the Implementing Rules, to further clarify and elaborate the relevant provisions of the Foreign Investment Law. The Foreign Investment Law and the Implementing Rules both took effect on January 1, 2020 and replaced three previous major laws on foreign investments in China, namely, the Sino-foreign Equity Joint Venture Law, the Sino-foreign Cooperative Joint Venture Law and the Wholly Foreign-owned Enterprise Law, together with their respective implementing rules.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Implementing Rules introduce a see-through principle and further provide that foreign-invested enterprises that invest in the PRC shall also be governed by the Foreign Investment Law and the Implementing Rules. </w:t>
      </w:r>
    </w:p>
    <w:p>
      <w:pPr>
        <w:pStyle w:val="TextBody"/>
        <w:bidi w:val="0"/>
        <w:spacing w:before="240" w:after="0"/>
        <w:jc w:val="left"/>
        <w:rPr>
          <w:rFonts w:ascii="Times New Roman" w:hAnsi="Times New Roman"/>
          <w:sz w:val="20"/>
        </w:rPr>
      </w:pPr>
      <w:r>
        <w:rPr>
          <w:rFonts w:ascii="Times New Roman" w:hAnsi="Times New Roman"/>
          <w:sz w:val="20"/>
        </w:rPr>
        <w:t xml:space="preserve">The Foreign Investment Law and the Implementing Rules provide that a system of pre-entry national treatment and negative list shall be applied for the administration of foreign investment, where “pre-entry national treatment” means that the treatment given to foreign investors and their investments at market entry stage is no less favorable than that given to domestic investors and their investments, and “negative list” means the special administrative measures for foreign investment’s entry to specific fields or industries. Foreign investments beyond the negative list will be granted national treatment. Foreign investors shall not invest in the prohibited fields as specified in the negative list, and foreign investors who invest in the restricted fields shall comply with certain special requirements on shareholding and senior management personnel, etc. In the meantime, relevant competent government departments will formulate a catalogue of the specific industries, fields and regions in which foreign investors are encouraged and guided to invest according to the national economic and social development needs. The current industry entry clearance requirements governing investment activities in the PRC by foreign investors are set out in two categories, namely The Special Management Measures for the Entry of Foreign Investment (Negative List) (2024 version), or the 2024 Foreign Investment Negative List, as promulgated on September 6, 2024 by the National Development and Reform Commission, or the NDRC, and the Ministry of Commerce, or the MOFCOM, and taking effect from November 1, 2024, and the Encouraged Industry Catalogue for Foreign Investment (2025 version), as promulgated by the NDRC and the MOFCOM on December 15, 2025 and taking effect on February 1, 2026. Industries not listed in these two catalogues are generally deemed “permitted” for foreign investment unless specifically restricted by other PRC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Implementing Rules, the registration of foreign-invested enterprises shall be handled by the State Administration for Market Regulation, or the SAMR, or its authorized local counterparts. Where a foreign investor invests in an industry or field subject to licensing in accordance with laws, the relevant competent government department responsible for granting such license shall review the license application of the foreign investor in accordance with the same conditions and procedures applicable to PRC domestic investors unless it is stipulated otherwise by the laws and administrative regulations, and the competent government department shall not impose discriminatory requirements on the foreign investor in terms of licensing conditions, application materials, reviewing steps and deadlines, etc.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Foreign Investment Law and the Implementing Rules, and the Information Reporting Measures for Foreign Investment jointly promulgated by the MOFCOM and the SAMR, which took effect on January 1, 2020, a foreign investment information reporting system has been established and foreign investors or foreign-invested enterprises shall report investment information to competent commerce departments of the government through the enterprise registration system and the national enterprise credit information publicity system, and the administration for market regulation shall forward the above investment information to the competent commerce departments in a timely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Manufacturing New Energy Passenger Vehicles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laws, a newly-established manufacturer of new energy passenger vehicles shall first complete the filings with the competent local counterpart of the NDRC, and thereafter obtain the entry approvals from the Ministry of Industry and Information Technology, or the MIIT, for itself and the new energy passenger vehicles to be manufactured by them. </w:t>
      </w:r>
    </w:p>
    <w:p>
      <w:pPr>
        <w:pStyle w:val="TextBody"/>
        <w:bidi w:val="0"/>
        <w:spacing w:before="240" w:after="0"/>
        <w:jc w:val="left"/>
        <w:rPr>
          <w:rFonts w:ascii="Times New Roman" w:hAnsi="Times New Roman"/>
          <w:sz w:val="20"/>
        </w:rPr>
      </w:pPr>
      <w:r>
        <w:rPr>
          <w:rFonts w:ascii="Times New Roman" w:hAnsi="Times New Roman"/>
          <w:sz w:val="20"/>
        </w:rPr>
        <w:t xml:space="preserve">On June 2, 2015, the NDRC and the MIIT promulgated the Administrative Measures for Newly-established Manufacturers of Pure Electric Passenger Vehicles, or Circular 27, which took effect on July 10, 2015. According to Circular 27, a newly-established manufacturer for pure electric passenger vehicles shall satisfy specific requirements including, among others, having complete vehicle research and development capabilities, power systems and other necessary technologies, and shall obtain the NDRC approval with respect to the project investments in manufacturing the pure electric passenger vehicles. According to the Administrative Measures for Investment in Automobile Industry, which was subsequently promulgated by the NDRC on December 10, 2018 and took effect on January 10, 2019, the projects in relation to newly-established manufacturer for pure electric passenger vehicles shall be filed with the competent provincial counterpart of the NDRC, which supersedes the requirement of obtaining the approval from the NDRC under Circular 27. </w:t>
      </w:r>
    </w:p>
    <w:p>
      <w:pPr>
        <w:pStyle w:val="TextBody"/>
        <w:bidi w:val="0"/>
        <w:spacing w:before="240" w:after="0"/>
        <w:jc w:val="left"/>
        <w:rPr>
          <w:rFonts w:ascii="Times New Roman" w:hAnsi="Times New Roman"/>
          <w:sz w:val="20"/>
        </w:rPr>
      </w:pPr>
      <w:r>
        <w:rPr>
          <w:rFonts w:ascii="Times New Roman" w:hAnsi="Times New Roman"/>
          <w:sz w:val="20"/>
        </w:rPr>
        <w:t xml:space="preserve">In addition, according to the Administrative Measures for the Entry of Manufacturers of New Energy Vehicles and the Products promulgated by the MIIT on January 6, 2017, which took effect on July 1, 2017 and last amended on July 24, 2020, or Circular 39, the MIIT is responsible for the national-wide administration of new energy vehicles and their manufacturers. The manufacturers shall apply to the MIIT for the entry approval to become a qualified manufacturer in China and shall further apply to the MIIT for the entry approval for the new energy vehicle products before commencing the manufacturing and sale of the new energy vehicle products in China. Both of the new energy vehicle products and their manufacturers will be listed in the Announcement of the Vehicle Manufacturers and Products issued by the MIIT from time to time, or the Manufacturers and Products Announcement, if they have obtained the entry approval from the MIIT. </w:t>
      </w:r>
    </w:p>
    <w:p>
      <w:pPr>
        <w:pStyle w:val="TextBody"/>
        <w:bidi w:val="0"/>
        <w:spacing w:before="240" w:after="0"/>
        <w:jc w:val="left"/>
        <w:rPr>
          <w:rFonts w:ascii="Times New Roman" w:hAnsi="Times New Roman"/>
          <w:sz w:val="20"/>
        </w:rPr>
      </w:pPr>
      <w:r>
        <w:rPr>
          <w:rFonts w:ascii="Times New Roman" w:hAnsi="Times New Roman"/>
          <w:sz w:val="20"/>
        </w:rPr>
        <w:t xml:space="preserve">Furthermore, to obtain the entry approvals from the MIIT, the manufacturers shall meet certain requirements, including, among others, having obtained the approvals or completed the filings with the NDRC in relation to the project investments in manufacturing the electric vehicles, having capabilities in the design, development and manufacture of automotive products, ensuring product consistency, providing after-sales service and product safety assurance, and the new energy vehicles shall meet the technical criteria contained in Circular 39 and other safety and technical requirements specified by the MIIT and pass the inspections conducted by the relevant state-recognized testing institutions. Any manufacturer manufacturing the new energy vehicles without obtaining the entry approval or selling new energy vehicles not listed in the Manufacturers and Products Announcement may be subject to penalties including fines, forfeiture of illegally manufactured and sold vehicles and spare parts and revocation of its business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Compulsory Product Certification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Administrative Regulations on Compulsory Product Certification as promulgated by the General Administration of Quality Supervision, Inspection and Quarantine, or the QSIQ, which was merged into the SAMR afterwards, on July 3, 2009 and became effective on September 1, 2009 and as most recently revised on September 29, 2022 and implemented on November 1, 2022, and according to the List of the First Batch of Products Subject to Compulsory Product Certification as promulgated by the QSIQ in association with the State Certification and Accreditation Administration Committee, or the CAA on December 3, 2001, and became effective on the same day, QSIQ is responsible for the quality certification of automobiles. Automobiles and the relevant accessories must not be sold, exported or used in operating activities until they are certified by certification authorities designated by CAA as qualified products and granted certification marks.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Government Subsidies and Exemption of Vehicle Purchase Tax for Purchasing New Energy Vehicles </w:t>
      </w:r>
    </w:p>
    <w:p>
      <w:pPr>
        <w:pStyle w:val="TextBody"/>
        <w:bidi w:val="0"/>
        <w:spacing w:before="120" w:after="0"/>
        <w:jc w:val="left"/>
        <w:rPr>
          <w:rFonts w:ascii="Times New Roman" w:hAnsi="Times New Roman"/>
          <w:sz w:val="20"/>
        </w:rPr>
      </w:pPr>
      <w:r>
        <w:rPr>
          <w:rFonts w:ascii="Times New Roman" w:hAnsi="Times New Roman"/>
          <w:sz w:val="20"/>
        </w:rPr>
        <w:t xml:space="preserve">On April 22, 2015, the MOF, the Ministry of Science and Technology, or the MOST, the MIIT and the NDRC jointly promulgated the Circular on Financial Subsidies on the Promotion and Application of New Energy Vehicles from 2016 to 2020, or the NEV Financial Subsidies Circular, which took effect on the same day. The NEV Financial Subsidies Circular provides that those who purchase new energy vehicles specified in the Catalogue of Recommended New Energy Vehicle Models for Promotion and Application issued by the MIIT, or the Recommended NEV Catalogue, may enjoy government subsidies. Furthermore, a preliminary phase-out schedule for the provision of subsidies during the period from 2016 to 2020 contained in NEV Financial Subsidies Circular specifies that the subsidy amount per vehicle, or subsidy criteria, for the year 2017 to 2018 will be reduced by 20% compared to that of the year 2016, and the subsidy criteria for the year 2019 to 2020 will be reduced by 40% compared to that of the year 2016.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2016, the MOF, the MOST, the MIIT and NDRC jointly promulgated the Circular on Adjusting the Subsidy Policies on Promotion and Application of New Energy Vehicles, or the Circular on Adjusting the NEV Subsidy Policies, which became effective on January 1, 2017, to enhance the technical requirements and adjust the subsidy criteria of qualified new energy vehicles in the Recommended NEV Catalogue. The Circular on Adjusting the NEV Subsidy Policies caps the subsidy amount from the local governments at 50% of the subsidy amount from the central government, and further specifies that national and local subsidies for purchasers purchasing new energy vehicles (except for fuel cell vehicles) from 2019 to 2020 will be reduced by 20% as compared to the then-existing subsidy standards. The MOF, the MOST, the MIIT and the NDRC promulgated a series of circulars in 2018 and 2019 to further adjust the technical requirements and subsidy criteria of new energy vehicles eligible for government subsidies.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2020, the MOF, the MOST, the MIIT and the NDRC jointly issued the Circular on Improving Subsidy Policies on Promotion and Application of New Energy Vehicles, which took effect on the same day, or the 2020 NEV Financial Subsidies Circular, which extends the implementation period of financial subsidy policy for new energy vehicles to the end of 2022. The 2020 NEV Financial Subsidies Circular further specifies that the subsidy criteria for new energy vehicles during the period from year 2020 to 2022 will generally be reduced by 10%, 20% and 30% compared to the subsidy standard of the previous year respectively, and the number of vehicles eligible for the subsidies will not exceed approximately two million each year. Furthermore, on December 31, 2020 and December 31, 2021, the abovementioned authorities further promulgated another two similar circulars to reiterate the principles including among others, the subsidy criteria reduction rate as stipulated in the 2020 NEV Financial Subsidies Circular. </w:t>
      </w:r>
    </w:p>
    <w:p>
      <w:pPr>
        <w:pStyle w:val="TextBody"/>
        <w:bidi w:val="0"/>
        <w:spacing w:before="240" w:after="0"/>
        <w:jc w:val="left"/>
        <w:rPr>
          <w:rFonts w:ascii="Times New Roman" w:hAnsi="Times New Roman"/>
          <w:sz w:val="20"/>
        </w:rPr>
      </w:pPr>
      <w:r>
        <w:rPr>
          <w:rFonts w:ascii="Times New Roman" w:hAnsi="Times New Roman"/>
          <w:sz w:val="20"/>
        </w:rPr>
        <w:t xml:space="preserve">On December 26, 2017, the MOF, the State Administration of Taxation, or the SAT, the MIIT and the MOST jointly issued the Announcement on Exemption of Vehicle Purchase Tax for New Energy Vehicle, or the Announcement on Exemption of Vehicle Purchase Tax, pursuant to which, from January 1, 2018 to December 31, 2020, the vehicle purchase tax is not imposed on purchases of qualified new energy vehicles listed in the Catalogue of New Energy Vehicle Models Exempted from Vehicle Purchase Tax jointly issued by MIIT and the SAT. On April 16, 2020, the MOF, the SAT and the MIIT further promulgated the Announcement on Relevant Policies for the Exemption of Vehicle Purchase Tax for New Energy Vehicles, which took effect on January 1, 2021, and further extended the exemption period for the vehicle purchase tax of new energy vehicles to December 31, 2022. Furthermore, on September 18, 2022, the MOF, the SAT and the MIIT stipulated the Announcement on Continuation for the Exemption of Vehicle Purchase Tax for New Energy Vehicles, which continues to extend the exemption period for the vehicle purchase tax for new energy vehicles to December 31, 2023. On June 19, 2023, the MOF and the MIIT issued the Announcement on Continuation and Optimization for the Exemption of Vehicle Purchase Tax for New Energy Vehicles, pursuant to which new energy vehicles purchased during the period from January 1, 2024 to December 31, 2025 shall be exempted from the vehicle purchase tax and the exemption amount for each new energy passenger vehicle shall not exceed RMB30,000; new energy vehicles purchased during the period from January 1, 2026 to December 31, 2027 shall be subject to the vehicle purchase tax at a reduced rate by half and the exemption amount for each new energy passenger vehicle shall not exceed RMB15,000.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Electric Vehicle Charging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Guiding Opinions of the General Office of the State Council on Accelerating the Promotion and Application of the New Energy Vehicles which took effect on July 14, 2014, the Guiding Opinions of the General Office of the State Council on Accelerating the Construction of Charging Infrastructure of the Electric Vehicle which took effect on September 29, 2015, the Guidance on the Development of Electric Vehicle Charging Infrastructure (2015-2020) which took effect on October 9, 2015 and the Development Plan for the New-energy Vehicle Industry (2021-2035) which took effect on October 20, 2020, the PRC government encourages the construction and development of charging infrastructure for electric vehicles, such as charging stations and battery swap stations, and requires relevant local authorities to adopt simplified construction approval procedures and expedite the approval process. In particular, only newly-built centralized charging and battery replacement power stations with independent land occupation are required to obtain the construction approvals and permits from the relevant authorities. Government guidance price should be implemented in managing the rate of the charging service fees before the year 2020. The Circular on Accelerating the Development of Electric Vehicle Charging Infrastructure in Residential Areas jointly promulgated by the NDRC, the National Energy Administration, the MIIT and the Ministry of Housing and Urban-Rural Development on July 25, 2016 provides that charging infrastructures in residential areas should be covered by product liability insurance policies and charging safety liability insurance policies, and operators of electric vehicle charging and battery swap infrastructure facilities are required to be covered under safety liability insurance policies. Furthermore, on January 10, 2022, the NDRC, together with other competent government authorities, promulgated the Implementation Opinions on Further Improving the Service Guarantee Capability of Electric Vehicle Charging Infrastructure, targeting to further strengthen the electric vehicle charging infrastructure’s capacity by optimizing the construction of urban public charging network and accelerating the effective coverage of the fast-charging facilities on the highways. In addition, on July 20, 2023, the NDRC and the MIIT, together with several other government authorities, promulgated the Several Measures for Promoting Automobile Consumption, which aims to strengthen the construction of supporting facilities for new energy automobiles by, among others, accelerating the construction of charging infrastructure in townships and countries, highways, residential areas and other locations. Moreover, in 2024, the Ministry of Finance, the MIIT and the Ministry of Transport jointly launched a nationwide pilot project for the development of county-level charging and battery swap infrastructure from 2024 to 2026, supported by central fiscal incentive funds aimed at achieving full coverage of charging facilities in townships across China. In June 2025, the NDRC, the National Energy Administration and other relevant authorities issued the Notice on Promoting the Scientific Planning and Construction of High-Power Charging Facilities, which sets a target of more than 100,000 high-power charging facilities nationwide by the end of 2027, with a focus on promoting the construction of such facilities in highways and core urban areas. Furthermore, on September 24, 2025, the NDRC, the National Energy Administration, the MIIT, the Ministry of Housing and Urban-Rural Development, the Ministry of Transport and the State Administration for Market Regulation jointly issued the Three-Year Doubling Action Plan for Electric Vehicle Charging Facility Service Capacity (2025-2027), which sets an overall target to build 28 million charging facilities nationwide by the end of 2027, and outlines five special actions to upgrade public charging facilities, optimize charging conditions in residential areas, promote large-scale vehicle-grid interaction, improve power supply capacity, and enhance charging operation service quality. </w:t>
      </w:r>
    </w:p>
    <w:p>
      <w:pPr>
        <w:pStyle w:val="TextBody"/>
        <w:bidi w:val="0"/>
        <w:spacing w:before="240" w:after="0"/>
        <w:jc w:val="left"/>
        <w:rPr>
          <w:rFonts w:ascii="Times New Roman" w:hAnsi="Times New Roman"/>
          <w:sz w:val="20"/>
        </w:rPr>
      </w:pPr>
      <w:r>
        <w:rPr>
          <w:rFonts w:ascii="Times New Roman" w:hAnsi="Times New Roman"/>
          <w:sz w:val="20"/>
        </w:rPr>
        <w:t xml:space="preserve">Moreover, various local governmental authorities have implemented measures to encourage the construction and development of the electric vehicle charging infrastructure. For instance, on June 14, 2025, the General Office of the Municipal Government of Guangzhou promulgated the Three-Year Action Plan for Promoting the Development of the Intelligent Connected New Energy Vehicle Industry in Guangzhou, which took effect on the same day and will remain effective for three years, aiming, among other things, to accelerate the high-quality development of the intelligent connected new energy vehicle industry in Guangzhou and promote the construction of supporting facilities for new energy vehicles.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Relating to Parallel Credits Policy on Vehicle Manufacturers and Importers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2017, the MIIT, the MOF, the MOFCOM, the General Administration of Customs and the QSIQ jointly promulgated the Measures for the Parallel Administration of the Corporate Average Fuel Consumption and New Energy Vehicle Credits of Passenger Vehicle Enterprise, which were last amended on June 29, 2023 and took effect on August 1, 2023. Pursuant to the measures, the vehicle manufacturers and vehicle importers above a certain scale are required to maintain their new energy vehicles credits, or NEV credits, above zero. The NEV credits equal to the aggregate actual scores of a vehicle manufacturer or a vehicle importer minus its aggregate targeted scores calculated in a manner as stipulated under the measures. Excess positive NEV credits are tradable and may be sold to other enterprises through a credit management system established by the MIIT. Negative NEV credits can be offset by purchasing excess positive NEV credits from other manufacturers or importers.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these measures, the requirements on the NEV credits shall be considered for the entry approval of passenger vehicle manufacturers and products by the regulators. If a passenger vehicle enterprise fails to offset its negative credits, its new products which fuel consumption does not reach the target fuel consumption value for a certain vehicle models as specified in the Evaluation Methods and Indicators for the Fuel Consumption of Passenger Vehicles will not be listed in the Manufacturers and Products Announcement or will not be granted the compulsory product certification, and the vehicle enterprises may be subject to penalties according to the relevant rules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Automobile Sales and Consumer Rights Protection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Product Quality Law of the PRC promulgated on February 22, 1993 and most recently amended on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may be subject to confiscation of the products and fines. Earnings from sales in contravention of such standards or requirements may also be confiscated, and in severe cases, the violator’s business license may be revoked. Pursuant to the Regulations on the Administration of Recall of Defective Automobile Products, which was issued by the State Council on October 22, 2012 and amended on March 2, 2019, together with the relevant implementing measures as issued by the SAMR, or the Recall Regulations, manufacturers shall recall all defective automobiles in accordance with requirements contained therein; otherwise, the product quality supervision department of the State Council shall order manufacturers to recall accordingly. On November 23, 2020, the SAMR issued a Circular on Further Strengthening the Regulation of Recall of Automobile with Over-The-Air (OTA) Technology, or the OTA Recall Circular, pursuant to which automobile manufacturers that provide technical services to sold automobiles through OTA technology are required to complete filings with the SAMR in accordance with the Recall Regulations, and for technical services through OTA implemented from January 1, 2020 to the date of issuance of the OTA Recall Circular, the automobile manufacturers shall make supplementary filings with the SAMR before December 31, 2020. In addition, if an automobile manufacturer uses OTA technology to eliminate defects and recalls its defective products, it shall make a recall plan and complete a filing with the SAMR in accordance with the Recall Regulations. On February 25, 2025, the MIIT promulgated the Notice on Further Strengthening the Administration of Access, Recall and OTA Upgrading of Intelligent Connected Vehicle Products, which aims to strengthen the management of access and recall for intelligent connected vehicle products and to further regulate the OTA upgrading activities. In particular, the notice requires that technical parameters relating to combined driving assistance systems and OTA upgrading be added to the main technical parameters table for vehicle products, and such parameters will be incorporated into the MIIT’s administration of product access and production consistency and filed with SAMR to facilitate defect investigations and recalls.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Administrative Measures on Automobile Sales promulgated by the MOFCOM on April 5, 2017, which took effect on July 1, 2017, automobile suppliers and dealers shall sell automobiles, spare parts and other related products that are in compliance with relevant provisions and standards of the state, and the dealers shall, in an appropriate manner, expressly indicate the prices of automobiles, spare parts and other related products as well as the rates of charges for various services on their business premises, and shall not sell products at higher prices or charge other fees without express indication. Automobile suppliers and dealers are required to file the basic information through the information management system for the national automobile circulation operated by the competent commerce department of the State Council within 90 days after the receipt of a business license. Where there is any change to the filed information, automobile suppliers and dealers must update such information within 30 days upon such change. The Guiding Opinions on Further Strengthening the Construction of Safety System for New Energy Vehicle Enterprises issued by the MIIT, together with certain other PRC governmental authorities, on March 29, 2022, proposes to comprehensively enhance the safety capabilities of enterprises in safety management mechanism, product quality, operation monitoring, after-sales service, accident response and handling, as well as enhance network security, improve the safety of new energy vehicles, and promote the high-quality development of the new energy vehicle industry.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Notice on the Filing of Online Upgrade of Automotive Software promulgated and implemented by the MIIT Equipment Industry Development Center on April 15,2022, filing shall be made for a vehicle manufacturer that has obtained the manufacturing permission license for road vehicles, the vehicle products with OTA upgrade function produced by it and the OTA upgrade activities conducted, with tiered filing based on the impact assessment of specific upgrading activities. In particular, it can be divided into three categories: (i) for upgrading activities not involving changes in product safety, environmental protection, energy saving, anti-theft and other technical performance, enterprises may directly conduct such upgrading activities after filing; (ii) for upgrading activities involving changes in product safety, environmental protection, energy saving, anti-theft and other technical performance, enterprises shall submit verification materials to ensure that the products comply with national laws and regulations, technical standards and specifications as well as other relevant requirements. Among them, for upgrading activities involving the change of technical parameters in this Notice, enterprises shall apply for product change or extension with the MIIT in accordance with the management requirements of this Notice before filing such upgrading activities, with such upgrade subject to the completion of product admission under this Notice according to the process so as to ensure the consistency of vehicle product production; and (iii) for upgrading activities involving vehicle autonomous driving functions (Level 3 and above of driving automation classification), they should be approved by the MIIT.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Circular on Further Strengthening the Administration of the Market Access, Recall and Online Software Upgrading of Intelligent Connected Automobiles promulgated and implemented by the MIIT and State Administration for Market Regulation, or the SAMR, on February 25, 2025, automobile manufacturers shall take the initiative to perform their principal responsibilities for product quality and safety. In particular, enterprises that implement OTA upgrading activities shall file for record with the MIIT and the SAMR as required, and ensure that their automotive products after OTA upgrading comply with the relevant requirements of national laws and regulations, technical standards and technical specifications. the SAMR will conduct record-filing assessment and supervision and inspection in a timely manner, regulate the methods for upgrading and application of OTAs, and prevent enterprises from concealing vehicle defects or evading liability through OTA upgrading.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Consumer Rights and Interests Protection Law, as promulgated on October 31, 1993 and most recently amended in 2013 by the Standing Committee of the National People’s Congress of China, or the SCNPC, imposes stringent requirements and obligations on business operators. Failure to comply with the consumer protection requirements could subject the business operators to administrative penalties including warning, confiscation of illegal income, imposition of fines, an order to cease business operations, revocation of business licenses, as well as potential civil or criminal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Regulations Relating to Autonomous Driving </w:t>
      </w:r>
    </w:p>
    <w:p>
      <w:pPr>
        <w:pStyle w:val="TextBody"/>
        <w:bidi w:val="0"/>
        <w:spacing w:before="120" w:after="0"/>
        <w:jc w:val="left"/>
        <w:rPr>
          <w:rFonts w:ascii="Times New Roman" w:hAnsi="Times New Roman"/>
          <w:sz w:val="20"/>
        </w:rPr>
      </w:pPr>
      <w:r>
        <w:rPr>
          <w:rFonts w:ascii="Times New Roman" w:hAnsi="Times New Roman"/>
          <w:sz w:val="20"/>
        </w:rPr>
        <w:t xml:space="preserve">The MIIT, the Ministry of Public Security and the Ministry of Transport issued the Administrative Norms for Road Testing and Demonstrative Application of Intelligent Connected Vehicles (Trial Implementation) on July 27, 2021, which took effect from September 1, 2021. The norms are the primary national level regulatory document on road testing of autonomous driving vehicles in the PRC, pursuant to which, any entity intending to conduct a road testing and demonstrative application of intelligent connected vehicles must provide a self-statement on road testing safety and a temporary license plate for each tested vehicle. Demonstrative application refers to activities involving the pilot and trail effects of running intelligent connected vehicles with passengers and goods, which are carried out on designated sections of roads, urban roads, regions and other roads that are used for passage of public motor vehicles. An applicant entity must satisfy, among others, the following requirements to obtain the required licenses: (i) it must be an independent legal person registered under the PRC law with the capacity to conduct manufacturing, technological research or testing of vehicles and vehicle parts, which has established protocol to test and assess the performance of autonomous driving system and is capable of conducting real-time remote monitor of the tested vehicles; (ii) the vehicle under road testing must be equipped with a driving system that can switch between autonomous pilot mode and human driving mode in a safe, quick and simple manner and allows human driver to take control of the vehicle any time immediately when necessary; (iii) the tested vehicle must be equipped with the functions of recording, storing and real-time monitoring the condition of the vehicle and is able to transmit real-time data of the vehicle, such as the driving mode, location and speed; (iv)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During the testing, the testing entity should post a noticeable identification logo for autonomous driving test on each tested car and should not use autonomous driving mode unless in the permitted testing areas specified in the self-statement. If the testing entity intends to conduct road testing in the region beyond the administrative territory of the certificate issuing authority, it must again provide the former materials and supplementary materials (if any) to the authority supervising the road-testing of autonomous cars in that region. In addition, the testing entity is required to submit to the provincial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provincial authority within 24 hours and submit a comprehensive analysis report in writing covering cause analysis, final liability allocation results, etc. within five working days after the traffic enforcement agency determines the liability for the accident.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MIIT, the Ministry of Public Security, the Ministry of Housing and Urban-Rural Development and the Ministry of Transport issued, with effect from the same day, the Notice of Implementing the Pilot Program of Access and On-road Traffic of Intelligent Connected Vehicles. This notice also included an annex setting out implementation guidelines for the pilot program. The notice and its implementation guidelines established a pilot program for the on-road testing of intelligent connected vehicles. Pursuant to the notice, the authorities may select intelligent connected vehicles for on-road traffic pilot programs on the basis of road tests and product demonstrations. Eligible intelligent connected vehicles are those which are equipped with L3 or L4 autonomous driving functions (as defined in the Taxonomy of Driving Automation for Vehicles) and are capable of being mass produced. To be considered for the pilot, manufacturers and users of these vehicles must jointly develop an application plan and apply for the pilot qualification. The users must purchase vehicular insurance, apply for registration, monitor the operation of the vehicle, and ensure that the vehicle is used safely. If the intelligent connected vehicle will be used to provide transportation services as part of the pilot, the requisite operational licenses must also be obtained. The implementation guidelines provide that the users of the vehicles must (i) be an independent legal person registered under the PRC law that has fixed business premises in the city where the intelligent connected vehicles are to be operated and the capabilities to effectively support the development of safety and security work for the operation of the intelligent connected vehicles; (ii) establish a team that includes a team lead and management personnel, each with specified tasks and duties, to ensure the safe operation of the intelligent connected vehicles; (iii) establish a sound operational safety system, monitor the intelligent connected vehicles to ensure road safety, and respond in the event of emergencies, and (iv) obtain the appropriate operational licenses and qualifications if the user is engaged in the operation of transportation services. </w:t>
      </w:r>
    </w:p>
    <w:p>
      <w:pPr>
        <w:pStyle w:val="TextBody"/>
        <w:bidi w:val="0"/>
        <w:spacing w:before="240" w:after="0"/>
        <w:jc w:val="left"/>
        <w:rPr>
          <w:rFonts w:ascii="Times New Roman" w:hAnsi="Times New Roman"/>
          <w:sz w:val="20"/>
        </w:rPr>
      </w:pPr>
      <w:r>
        <w:rPr>
          <w:rFonts w:ascii="Times New Roman" w:hAnsi="Times New Roman"/>
          <w:sz w:val="20"/>
        </w:rPr>
        <w:t xml:space="preserve">On July 26, 2024, the Ministry of Natural Resources promulgated the Notice on Strengthening the Administration of Surveying, Mapping and Geoinformation Security Relating to Intelligent Connected Vehicles. This notice provides that surveying and mapping activities related to intelligent connected vehicles must be conducted in accordance with the law, that confidential and sensitive geographic information data must be strictly managed, and that electronic navigation maps must be strictly reviewed. In addition, the notice implements requirements for the storage of geoinformation data and cross-border transfer of such data, strengthens the regulation of geoinformation security, and encourages the exploration of geographic information security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Value-Added Telecommunications Services </w:t>
      </w:r>
    </w:p>
    <w:p>
      <w:pPr>
        <w:pStyle w:val="TextBody"/>
        <w:bidi w:val="0"/>
        <w:spacing w:before="120" w:after="0"/>
        <w:jc w:val="left"/>
        <w:rPr>
          <w:rFonts w:ascii="Times New Roman" w:hAnsi="Times New Roman"/>
          <w:sz w:val="20"/>
        </w:rPr>
      </w:pPr>
      <w:r>
        <w:rPr>
          <w:rFonts w:ascii="Times New Roman" w:hAnsi="Times New Roman"/>
          <w:sz w:val="20"/>
        </w:rPr>
        <w:t xml:space="preserve">Among all of the applicable laws and regulations, the PRC Telecommunications Regulations, or the Telecom Regulations, promulgated by the PRC State Council on September 25, 2000 and most recently amended on February 6, 2016, is the primary governing law, and sets out the general framework for the provision of telecommunications services by domestic PRC companies. Under the Telecom Regulations, telecommunications service providers are required to procure operating licenses prior to their commencement of operations. The Telecom Regulations distinguish “basic telecommunications services” from “value-added telecommunications services”, or “VATS”. VATS are defined as telecommunications and information services provided through public networks. A telecom catalogue was issued as an attachment to the Telecom Regulations to categorize telecommunications services as either basic or value-added, which was most recently updated in June 2019.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Measures on Telecommunications Business Operating Licenses promulgated by the MIIT in 2009 and most recently amended in July 2017,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from the competent administration authority, fines and confiscation of illegal gains and, in the case of significant infringements, the websites may be ordered to close.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Administrative Measures on Internet Information Services promulgated by the State Council in 2000 and amended in 2011, “internet information services” refers to the provision of information through the internet to online users and are divided into “commercial internet information services” and “non-commercial internet information services”. A provider of commercial internet information service must obtain the VATS License for internet information service. If the operator provides internet information on a non-commercial basis, it only needs to file the relevant information with the provincial Communication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In 2006, the predecessor to the MIIT issued the Circular of the Ministry of Information Industry on Strengthening the Administration of Foreign Investment in Value-added Telecommunications Business, according to which a foreign investor in the telecommunications service industry of China must establish a foreign-invested enterprise and apply for a telecommunications business operation license. This circular further requires that: (i) PRC domestic telecommunications business enterprises must not lease, transfer or sell a telecommunications business operation license to a foreign investor through any form of transaction or provide resources, offices and working places, facilities or other assistance to support the illegal telecommunications service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value-added telecommunications enterprises are required to maintain network and internet security in accordance with the standards set forth in relevant PRC regulations. If a license holder fails to comply with the requirements in the circular or cure such non-compliance, the MIIT or its local counterparts have the discretion to take measures against such license holder, including revoking its license for value-added telecommunications business.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2024 Foreign Investment Negative List and the Administrative Regulations on Foreign-Invested Telecommunications Enterprises, which were most recently amended by the State Council on April 7, 2022 and took effect on May 1, 2022, as for the telecommunications businesses open for foreign investment according to China’s WTO commitment, except as otherwise stipulated by the state, the equity interest of foreign investors in the value-added telecommunications enterprises shall not exceed 50%. On April 8, 2024, the MIIT issued the Notice on the Pilot Program for Expanding the Opening up of Value-added Telecommunications Services. The notice provides for the establishment of a number of pilot programs, which are to be initially carried out in designated districts in Beijing, Shanghai, Hainan and Shenzhen. In these districts, restrictions on foreign equity ratios will be removed for internet data centers, content delivery networks, internet service providers, online data processing and transaction processing service, information releasing platforms and delivery services included in information services (excluding the operation of internet news information, online publishing, online audio and video, and internet culture), as well as information protection and processing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Financing Lease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Administrative Measures of Supervision on Financing Lease Enterprises formulated by the MOFCOM and effective on October 1, 2013, financing lease enterprises shall use lease properties with clear ownership and capable of generating revenue to carry out the financing lease business and shall report the relevant data in a timely and truthful manner through the National Financing Lease Company Management Information System. Financing lease enterprises shall not engage in deposits, loans, entrusted loans or other financial services. Without approval of the relevant government authorities, financing lease enterprises shall not engage in inter-bank borrowing or other businesses and must not carry out illegal fundraising activities under the disguise of a financing lease company. In addition, the measures also provide that financing lease enterprises shall give adequate consideration to and objectively evaluate the value of assets leased back, set purchasing prices for subject matter thereof with reference to reasonable pricing basis in compliance with accounting principles, and shall not purchase any subject matter at a price in excess of the value thereof.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PRC Civil Code promulgated by the National People’s Congress and effective on January 1, 2021 sets forth general terms about financing lease contracts and further provides that the lessor and the lessee may agree on the ownership of the leased property upon expiry of the lease term. If the ownership of the leased property is not or is not clearly agreed between the parties and cannot be determined pursuant to the PRC Civil Code, the leased property shall be owned by the lessor. </w:t>
      </w:r>
    </w:p>
    <w:p>
      <w:pPr>
        <w:pStyle w:val="TextBody"/>
        <w:bidi w:val="0"/>
        <w:spacing w:before="240" w:after="0"/>
        <w:jc w:val="left"/>
        <w:rPr>
          <w:rFonts w:ascii="Times New Roman" w:hAnsi="Times New Roman"/>
          <w:sz w:val="20"/>
        </w:rPr>
      </w:pPr>
      <w:r>
        <w:rPr>
          <w:rFonts w:ascii="Times New Roman" w:hAnsi="Times New Roman"/>
          <w:sz w:val="20"/>
        </w:rPr>
        <w:t xml:space="preserve">Our auto financing program is treated as an installment payment program for accounting purposes and the Group records the relevant installment payment receivables on its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Insurance Agency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Provisions on the Supervision and Administration of Insurance Agents, or the Insurance Agents Provisions, issued on November 12, 2020 and took effect on January 1, 2021 by the China Banking and Insurance Regulatory Commission, or the CBIRC, the predecessor of the National Financial Regulatory Administration, an insurance agent refers to an entity or an individual entrusted by insurance companies to handle insurance business by and within the authorization of, and which collects commissions from insurance companies, including the professional insurance agency, the ancillary-business insurance agency and the individual insurance sales agent. In order to engage in insurance agency business, a professional insurance agency shall obtain an insurance agency business permit issued by the National Financial Regulatory Administration or its local counterpart. After obtaining the business license, the insurance agency company has to satisfy the requirements prescribed by Insurance Agents Provisions or other relevant regulations on the shareholder and management qualification, capital contribution, articles of association, corporate governance and internal control procedures with viable business model and sound business and financial information system.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professional insurance agencies shall, within 5 days from the date of occurrence of any of the following circumstances, report to the National Financial Regulatory Administration through the supervision information system and make public disclosure: (i) change of name, domicile or business address; (ii) change of shareholders, registered capital or the form of organization; (iii) change of name or capital contribution of a shareholder; (iv) amendments to the articles of association; (v) equity investment in, or establishment of offshore insurance institutions or non-operating institutions; (vi) division, merger, dissolution, or termination of insurance agency business activities of branches; (vii) change of the principal person-in-charge of a sub-branch; (viii) administrative penalties, civil punishment or pending investigation of suspected illegal crime; or (ix) other reportable events prescribed by the insurance regulatory body under the State Council.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Internet Security and Privacy Protection </w:t>
      </w:r>
    </w:p>
    <w:p>
      <w:pPr>
        <w:pStyle w:val="TextBody"/>
        <w:bidi w:val="0"/>
        <w:spacing w:before="120" w:after="0"/>
        <w:jc w:val="left"/>
        <w:rPr>
          <w:rFonts w:ascii="Times New Roman" w:hAnsi="Times New Roman"/>
          <w:sz w:val="20"/>
        </w:rPr>
      </w:pPr>
      <w:r>
        <w:rPr>
          <w:rFonts w:ascii="Times New Roman" w:hAnsi="Times New Roman"/>
          <w:sz w:val="20"/>
        </w:rPr>
        <w:t xml:space="preserve">PRC governmental authorities have enacted laws and regulations with respect to Internet information security and protection of personal information from any abuse or unauthorized disclosure. Internet information in China is regulated and restricted from a national security standpoint. The Decision in Relation to Protection of Internet Security enacted by the SCNPC on December 28, 2000 and amended on August 27, 2009, provides that, among other things, the following activities conducted through the Internet are subject to criminal punishment: (i) gaining improper entry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State regulations, discontinuing the computer network or the communications service without authorization; (iv) leaking state secrets; (v) spreading false commercial information; or (vi) infringing intellectual property rights through internet, etc.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2016, the SCNPC promulgated the Cybersecurity Law, which came into effect on June 1, 2017 and was amended on October 28, 2025. The Cybersecurity Law applies to the construction, operation, maintenance and use of networks as well as the supervision and administration of cybersecurity in China. Under the Cybersecurity Law, “networks” is defined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taking measures to classify, backup and encrypt important data;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 </w:t>
      </w:r>
    </w:p>
    <w:p>
      <w:pPr>
        <w:pStyle w:val="TextBody"/>
        <w:bidi w:val="0"/>
        <w:spacing w:before="240" w:after="0"/>
        <w:jc w:val="left"/>
        <w:rPr>
          <w:rFonts w:ascii="Times New Roman" w:hAnsi="Times New Roman"/>
          <w:sz w:val="20"/>
        </w:rPr>
      </w:pPr>
      <w:r>
        <w:rPr>
          <w:rFonts w:ascii="Times New Roman" w:hAnsi="Times New Roman"/>
          <w:sz w:val="20"/>
        </w:rPr>
        <w:t xml:space="preserve">On June 10, 2021, the Standing Committee of the National People’s Congress of China promulgated the Data Security Law, which took effect in September 2021.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We may be required to make further adjustments to our business practices to comply with this law. </w:t>
      </w:r>
    </w:p>
    <w:p>
      <w:pPr>
        <w:pStyle w:val="TextBody"/>
        <w:bidi w:val="0"/>
        <w:spacing w:before="240" w:after="0"/>
        <w:jc w:val="left"/>
        <w:rPr>
          <w:rFonts w:ascii="Times New Roman" w:hAnsi="Times New Roman"/>
          <w:sz w:val="20"/>
        </w:rPr>
      </w:pPr>
      <w:r>
        <w:rPr>
          <w:rFonts w:ascii="Times New Roman" w:hAnsi="Times New Roman"/>
          <w:sz w:val="20"/>
        </w:rPr>
        <w:t xml:space="preserve">On July 30, 2021, the State Council promulgated the Regulations on Security Protection of Critical Information Infrastructure, effective on September 1, 2021. According to the Regulations on Security Protection of Critical Information Infrastructure, a “critical information infrastructure” refers to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competent governmental authorities and supervision and management authorities of the aforementioned important industries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Administrative Provisions on Security Vulnerability of Network Products were jointly promulgated by the MIIT, the CAC and the Ministry of Public Security on July 12, 2021 and took effect on September 1, 2021. Network product providers, network operators as well as organizations or individuals engaging in the discovery, collection, release and other activities of network product security vulnerability are subject to these provisions and shall establish channels to receive information of security vulnerability of their respective network products and shall examine and fix such security vulnerability in a timely manner. Network product providers are required to report relevant information of security vulnerability of network products with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these provisions, the breaching parties may be subject to administrative penalty as regulated in accordance with the Cybersecurity Law.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2021, the SCNPC promulgated the PRC Personal Information Protection Law, which took effect from November 1, 2021. Pursuant to the PRC Personal Information Protection Law, personal information refers to the information related to an identified or identifiable individual recorded electronically or by other means, excluding the anonymized information, and processing of personal information includes among others, the collection, storage, use, handling, transmission, provision, disclosure, deletion of personal information. In addition to processing of personal information within the PRC, the PRC Personal Information Protection Law also applies to the processing of personal information outside the PRC under any of the following circumstances: (i) where the purpose is to provide products or services to individuals within the PRC; (ii) when analyzing or assessing the activities of domestic individuals; or (iii) other circumstances as stipulated by laws and administrative regulations. The PRC Personal Information Protection Law explicitly sets forth the circumstances where it is allowed to process personal information, including (i) the consent from the individual has been obtained; (ii) it is necessary for the conclusion and performance of a contract under which an individual is a party, or it is necessary for human resource management in accordance with the labor related rules and regulations and the collective contracts formulated or concluded in accordance with laws; (iii) it is necessary to perform statutory duties or statutory obligations; (iv) it is necessary to respond to public health emergencies, or to protect the life, health and property safety of individuals in emergencies; (v) carrying out news reports, public opinion supervision and other acts for the public interest, and processing personal information within a reasonable scope; (vi) processing personal information disclosed by individuals or other legally disclosed personal information within a reasonable scope in accordance with this law; or (vii) other circumstances stipulated by laws and administrative regulations. In addition, this law emphasizes that individuals have the right to withdraw their consent to process their personal information, and the processors must not refuse to provide products or services on the grounds that the individuals do not agree to the processing of their personal information or withdraw their consent, unless processing of personal information is necessary for the provision of products or services. Before processing the personal information, the processors should truthfully, accurately and completely inform individuals of the following matters in a conspicuous manner and in clear and easy-to-understand language: (i) the name and contact information of the personal information processor; (ii) the purpose of processing personal information, processing method, type of personal information processed, and the retention period; (iii) methods and procedures for individuals to exercise their rights under this law; (iv) other matters that should be notified according to laws and administrative regulations. Furthermore, the law provides that personal information processors who use personal information to make automated decisions should ensure the transparency of decision-making and the fairness and impartiality of the results, and must not impose unreasonable differential treatment on individuals in terms of transaction prices and other transaction conditions.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2021, the CAC, together with certain other PRC governmental authorities, promulgated the Revised Cybersecurity Review Measures that replaced the previous version and took effect from February 15, 2022. Pursuant to these measures, the purchase of network products and services by an operator of critical information infrastructure or the data processing activities of a network platform operator that affect or may affect national security will be subject to a cybersecurity review. In addition, any online platform operator possessing over one million users’ individual information must apply for a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Article 10 of the Revised Cybersecurity Review Measures also set out certain general factors which would be the focus in assessing the national security risk during a cybersecurity review, including (i) risks of critical information infrastructure being illegally controlled or subject to interference or destruction; (ii) the harm caused by the disruption of the supply of the product or service to the business continuity of critical information infrastructure; (iii) the security, openness, transparency and diversity of sources of the product or service, the reliability of supply channels, and risks of supply disruption due to political, diplomatic, trade and other factors; (iv) compliance with PRC laws, administrative regulations and departmental rules by the provider of the product or service; (v) the risk of core data, important data or a large amount of personal information being stolen, leaked, damaged, illegally used, or illegally transmitted overseas; (vi) the risk that critical information infrastructure, core data, important data or a large amount of personal information being affected, controlled, and maliciously used by foreign governments for a listing, as well as network information security risks; and (vii) other factors that may endanger the security of critical information infrastructure, cybersecurity and data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PRC regulatory authorities have also enhanced the supervision and regulation on cross-border data transfer. For example, on July 7, 2022, the CAC promulgated the Measures for the Security Assessment of Cross-border Data Transfer, which came into effect on September 1, 2022. These measures require a data processor providing data to overseas recipients and falling under any of the specified circumstances to apply for a security assessment of cross-border data transfer by the national cybersecurity authority through its local counterpart. On February 22, 2023, the CAC promulgated the Measures on the Standard Contract for Cross-border Transfer of Personal Information, which became effective on June 1, 2023. These measures require personal information processors providing personal information to overseas recipients by entering into standard contracts and falling under any of the specified circumstances to file with the local counterpart of the CAC within ten business days from the effective date of the relevant standard contracts. Furthermore, on March 22, 2024, the CAC promulgated the Provisions on Promoting and Standardizing Cross-Border Data Transfer, which set forth the circumstances exempted from performing the security assessment or filing procedures for cross-border data transfer and further clarify the thresholds and scenarios for data processors to go through these procedures as stipulated under the aforementioned measures. However, substantial uncertainties still exist with respect to the interpretation and implementation of these measures in practice and how they will affect our business operation and the value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2024, the CAC promulgated the Regulations for the Administration of Network Data Security, which came into effect on January 1, 2025. The Regulations for the Administration of Network Data Security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us to suspension of services, fines, revocation of relevant business permits or business licenses and other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Patent </w:t>
      </w:r>
    </w:p>
    <w:p>
      <w:pPr>
        <w:pStyle w:val="TextBody"/>
        <w:bidi w:val="0"/>
        <w:spacing w:before="120" w:after="0"/>
        <w:jc w:val="left"/>
        <w:rPr>
          <w:rFonts w:ascii="Times New Roman" w:hAnsi="Times New Roman"/>
          <w:sz w:val="20"/>
        </w:rPr>
      </w:pPr>
      <w:r>
        <w:rPr>
          <w:rFonts w:ascii="Times New Roman" w:hAnsi="Times New Roman"/>
          <w:sz w:val="20"/>
        </w:rPr>
        <w:t xml:space="preserve">Patents in the PRC are principally protected under the PRC Patent Law, which was initially promulgated by the SCNPC in 1984 and was most recently amended in 2020. Invention patents are valid for twenty years, utility model patents are valid for ten years, and since June 1, 2021, the validation period for design patents whose application date is after June 1, 2021 are extended to fifteen years, in each case from the date of application.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Copyright </w:t>
      </w:r>
    </w:p>
    <w:p>
      <w:pPr>
        <w:pStyle w:val="TextBody"/>
        <w:bidi w:val="0"/>
        <w:spacing w:before="120" w:after="0"/>
        <w:jc w:val="left"/>
        <w:rPr>
          <w:rFonts w:ascii="Times New Roman" w:hAnsi="Times New Roman"/>
          <w:sz w:val="20"/>
        </w:rPr>
      </w:pPr>
      <w:r>
        <w:rPr>
          <w:rFonts w:ascii="Times New Roman" w:hAnsi="Times New Roman"/>
          <w:sz w:val="20"/>
        </w:rPr>
        <w:t xml:space="preserve">Copyrights in the PRC, including software copyrights, is principally protected under the PRC Copyright Law, which took effect in 1991 and was most recently amended in November 2020 and other related rules and regulations. Under the PRC Copyright Law, the term of protection for software copyrights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Trademark </w:t>
      </w:r>
    </w:p>
    <w:p>
      <w:pPr>
        <w:pStyle w:val="TextBody"/>
        <w:bidi w:val="0"/>
        <w:spacing w:before="120" w:after="0"/>
        <w:jc w:val="left"/>
        <w:rPr>
          <w:rFonts w:ascii="Times New Roman" w:hAnsi="Times New Roman"/>
          <w:sz w:val="20"/>
        </w:rPr>
      </w:pPr>
      <w:r>
        <w:rPr>
          <w:rFonts w:ascii="Times New Roman" w:hAnsi="Times New Roman"/>
          <w:sz w:val="20"/>
        </w:rPr>
        <w:t xml:space="preserve">Registered trademarks are protected under the PRC Trademark Law, which was adopted by the SCNPC in 1982 and most recently amended in 2019, as well as the Implementation Regulations of the PRC Trademark Law adopted by the State Council in 2002 and most recently amended in 2014 and other related rules and regulations. The State Intellectual Property Office, formerly known as the Trademark Office of the State Administration for Industry and Commerce, handles trademark registrations and grants a protection term of ten years to registered trademarks and the term may be renewed for another ten-year period upon request by the trademark owner.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Domain Name </w:t>
      </w:r>
    </w:p>
    <w:p>
      <w:pPr>
        <w:pStyle w:val="TextBody"/>
        <w:bidi w:val="0"/>
        <w:spacing w:before="120" w:after="0"/>
        <w:jc w:val="left"/>
        <w:rPr>
          <w:rFonts w:ascii="Times New Roman" w:hAnsi="Times New Roman"/>
          <w:sz w:val="20"/>
        </w:rPr>
      </w:pPr>
      <w:r>
        <w:rPr>
          <w:rFonts w:ascii="Times New Roman" w:hAnsi="Times New Roman"/>
          <w:sz w:val="20"/>
        </w:rPr>
        <w:t xml:space="preserve">Domain names are protected under the Administrative Measures on Internet Domain Names promulgated by the MIIT on August 24, 2017 and effective since November 1, 2017. Domain name registrations are handled through domain name service agencies established under the relevant regulations, and applicants become domain name holders upon successful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Employment, Social Insurance and Housing Fund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PRC Labor Law, which was promulgated in 1994 and most recently amended in 2018, and the PRC Labor Contract Law, which was promulgated on June 29, 2007 and amended on December 28, 2012, employers must execute written labor contracts with full-time employees. All employers must comply with local minimum wage standards. Violations of the PRC Labor Contract Law and the PRC Labor Law may result in the imposition of fines and other administrative and criminal liability in the case of serious violations.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according to the PRC Social Insurance Law implemented on July 1, 2011 and most recently amended on December 29, 2018 and the Regulations on the Administration of Housing Funds, which was promulgated by the State Council in 1999 and most recently amended in 2019, employers in China must provide employees with welfare schemes covering pension insurance, unemployment insurance, maternity insurance, work-related injury insurance, and medical insurance and housing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Foreign Exchange and Dividend Distribution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Regulation on Foreign Currency Exchange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regulations governing foreign currency exchange in China are the Foreign Exchange Administration Regulations, as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 </w:t>
      </w:r>
    </w:p>
    <w:p>
      <w:pPr>
        <w:pStyle w:val="TextBody"/>
        <w:bidi w:val="0"/>
        <w:spacing w:before="240" w:after="0"/>
        <w:jc w:val="left"/>
        <w:rPr>
          <w:rFonts w:ascii="Times New Roman" w:hAnsi="Times New Roman"/>
          <w:sz w:val="20"/>
        </w:rPr>
      </w:pPr>
      <w:r>
        <w:rPr>
          <w:rFonts w:ascii="Times New Roman" w:hAnsi="Times New Roman"/>
          <w:sz w:val="20"/>
        </w:rPr>
        <w:t xml:space="preserve">In 2012, SAFE promulgated the Circular of Further Improving and Adjusting Foreign Exchange Administration Policies on Foreign Direct Investment, or Circular 59, which substantially amends and simplifies the previous foreign exchange procedure. Pursuant to Circular 59, the opening and deposit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promulgated the Notice on Promulgation of the Provisions on Foreign Exchange Control on Direct Investments in China by Foreign Investors and Supporting Documents, which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conduct the registration and perform statistical monitoring and reporting responsibilities.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allows all foreign-invested enterprises established in the PRC to settle their foreign exchange capital on a discretionary basis according to the actual needs of their business operation, provides the procedures for foreign invested companies to use RMB converted from foreign currency-denominated capital for equity investments and removes certain other restrictions under previous rules and regulations. However, Circular 19 continues to prohibit foreign-invested enterprises from, among other things, using RMB funds converted from their foreign exchange capital for expenditure beyond their business scope, direct or indirect securities investment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in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w:t>
      </w:r>
    </w:p>
    <w:p>
      <w:pPr>
        <w:pStyle w:val="TextBody"/>
        <w:bidi w:val="0"/>
        <w:spacing w:before="240" w:after="0"/>
        <w:jc w:val="left"/>
        <w:rPr>
          <w:rFonts w:ascii="Times New Roman" w:hAnsi="Times New Roman"/>
          <w:sz w:val="20"/>
        </w:rPr>
      </w:pPr>
      <w:r>
        <w:rPr>
          <w:rFonts w:ascii="Times New Roman" w:hAnsi="Times New Roman"/>
          <w:sz w:val="20"/>
        </w:rPr>
        <w:t xml:space="preserve">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stamp with the outward remittance sum and date on the original copies of tax filing records,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2019, SAFE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with genuine investment projects and in compliance with effective foreign investment restrictions and other applicable laws. On December 4, 2023, SAFE issued the Notice on Further Deepening Reforms to Promote the Facilitation of Trade and Investment, which provides that qualified high-tech, “professional, sophisticated, unique and new” and technology-based small and medium-sized enterprises in specified areas can borrow foreign debt on their own within an amount not exceeding the equivalent of US$10 million. In addition, this notice restructured the asset realization account of capital accounts to the settlement account of capital accounts. The equity transfer consideration funds in foreign currency received by a domestic equity transferor (including institutions and individuals) from domestic parties, as well as the foreign exchange funds raised by domestic enterprises through overseas listing, may be directly remitted to the settlement account of capital accounts. Funds in the settlement account of capital accounts may be settled and used at discretion.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2025, SAFE issued the Notice of the State Administration of Foreign Exchange on Matters Concerning the Deepening of Reform in the Administration of Foreign Exchange for Cross-border Investment and Financing, which further streamlined foreign exchange administration relating to cross-border investment and financing on a nationwide basis. Pursuant to this notice, (i) the registration of basic information for pre-establishment expenses under inbound direct investment is abolished, and foreign investors may directly open pre-establishment expense accounts and remit pre-establishment funds with banks without completing such registration prior to account opening; (ii) the registration for domestic reinvestment by foreign-invested enterprises is abolished, and provided that the investment complies with the negative list for foreign investment access and the domestic investment project is genuine and compliant, the investee enterprise or equity transferor is no longer required to complete the registration for receiving domestic reinvestment, and the domestic reinvestment funds may be directly transferred to the relevant account; and (iii) foreign investors and foreign-invested enterprises are permitted to reinvest foreign exchange profits lawfully generated from foreign direct investment in the PRC, and such foreign exchange funds may be directly remitted to the capital account of the investee enterprise or the capital account settlement account of the equity transferor.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on Dividend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regulations governing dividends distributions by companies include the PRC Company Law, the Foreign Invested Enterprise Law and its implementing rules. Under these laws and regulations, both domestic companies and foreign-invested companies in the PRC are required to set aside as general reserves at least 10% of their after-tax profit, until the cumulative amount of their reserves reaches 50% of their registered capital unless the laws and regulations regarding foreign investment provide otherwise. PRC companies are not permitted to distribute any profits until any losses from prior fiscal years have been offset. Profits retained from prior fiscal years may be distributed together with distributable profits from the current fiscal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on Foreign Exchange Registration of Overseas Investment by PRC Residents </w:t>
      </w:r>
    </w:p>
    <w:p>
      <w:pPr>
        <w:pStyle w:val="TextBody"/>
        <w:bidi w:val="0"/>
        <w:spacing w:before="120" w:after="0"/>
        <w:jc w:val="left"/>
        <w:rPr>
          <w:rFonts w:ascii="Times New Roman" w:hAnsi="Times New Roman"/>
          <w:sz w:val="20"/>
        </w:rPr>
      </w:pPr>
      <w:r>
        <w:rPr>
          <w:rFonts w:ascii="Times New Roman" w:hAnsi="Times New Roman"/>
          <w:sz w:val="20"/>
        </w:rPr>
        <w:t xml:space="preserve">In 2014, SAFE issued the SAFE Circular on Relevant Issues Relating to Domestic Resident’s Investment and Financing and Roundtrip Investment through Special Purpose Vehicles, or SAFE Circular 37.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 </w:t>
      </w:r>
    </w:p>
    <w:p>
      <w:pPr>
        <w:pStyle w:val="TextBody"/>
        <w:bidi w:val="0"/>
        <w:spacing w:before="240" w:after="0"/>
        <w:jc w:val="left"/>
        <w:rPr>
          <w:rFonts w:ascii="Times New Roman" w:hAnsi="Times New Roman"/>
          <w:sz w:val="20"/>
        </w:rPr>
      </w:pPr>
      <w:r>
        <w:rPr>
          <w:rFonts w:ascii="Times New Roman" w:hAnsi="Times New Roman"/>
          <w:sz w:val="20"/>
        </w:rPr>
        <w:t xml:space="preserve">In 2015, the SAFE Notice 13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the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Related to Stock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Related to Tax </w:t>
      </w:r>
    </w:p>
    <w:p>
      <w:pPr>
        <w:pStyle w:val="TextBody"/>
        <w:bidi w:val="0"/>
        <w:spacing w:before="120" w:after="0"/>
        <w:jc w:val="left"/>
        <w:rPr>
          <w:rFonts w:ascii="Times New Roman" w:hAnsi="Times New Roman"/>
          <w:b/>
          <w:i/>
          <w:sz w:val="20"/>
        </w:rPr>
      </w:pPr>
      <w:r>
        <w:rPr>
          <w:rFonts w:ascii="Times New Roman" w:hAnsi="Times New Roman"/>
          <w:b/>
          <w:i/>
          <w:sz w:val="20"/>
        </w:rPr>
        <w:t xml:space="preserve">Enterprise Income Tax </w:t>
      </w:r>
    </w:p>
    <w:p>
      <w:pPr>
        <w:pStyle w:val="TextBody"/>
        <w:bidi w:val="0"/>
        <w:spacing w:before="120" w:after="0"/>
        <w:jc w:val="left"/>
        <w:rPr>
          <w:rFonts w:ascii="Times New Roman" w:hAnsi="Times New Roman"/>
          <w:sz w:val="20"/>
        </w:rPr>
      </w:pPr>
      <w:r>
        <w:rPr>
          <w:rFonts w:ascii="Times New Roman" w:hAnsi="Times New Roman"/>
          <w:sz w:val="20"/>
        </w:rPr>
        <w:t xml:space="preserve">Under the Enterprise Income Tax Law of the PRC, or the EIT Law, which became effective on January 1, 2008 and was most recently amended on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“de facto management body”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w:t>
      </w:r>
    </w:p>
    <w:p>
      <w:pPr>
        <w:pStyle w:val="TextBody"/>
        <w:bidi w:val="0"/>
        <w:spacing w:before="240" w:after="0"/>
        <w:jc w:val="left"/>
        <w:rPr>
          <w:rFonts w:ascii="Times New Roman" w:hAnsi="Times New Roman"/>
          <w:sz w:val="20"/>
        </w:rPr>
      </w:pPr>
      <w:r>
        <w:rPr>
          <w:rFonts w:ascii="Times New Roman" w:hAnsi="Times New Roman"/>
          <w:sz w:val="20"/>
        </w:rPr>
        <w:t xml:space="preserve">The EIT Law and its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Chinese Mainland and the Hong Kong Special Administrative Region for the Avoidance of Double Taxation and the Prevention of Fiscal Evasion with respect to Taxes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the in-charge tax authority. However, based on the Notice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and based on the Announcement on Relevant Issues Concerning the “Beneficial Owners” in Tax Treaties issued on February 3, 2018 by the SAT and effective from April 1, 2018, comprehensive analysis based on the stipulated factor therein and actual circumstances shall be adopted when recognizing the “beneficial owner” and agents and designated wire beneficiaries are specifically excluded from being recognized as “beneficial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Value-Added Tax </w:t>
      </w:r>
    </w:p>
    <w:p>
      <w:pPr>
        <w:pStyle w:val="TextBody"/>
        <w:bidi w:val="0"/>
        <w:spacing w:before="120" w:after="0"/>
        <w:jc w:val="left"/>
        <w:rPr>
          <w:rFonts w:ascii="Times New Roman" w:hAnsi="Times New Roman"/>
          <w:sz w:val="20"/>
        </w:rPr>
      </w:pPr>
      <w:r>
        <w:rPr>
          <w:rFonts w:ascii="Times New Roman" w:hAnsi="Times New Roman"/>
          <w:sz w:val="20"/>
        </w:rPr>
        <w:t xml:space="preserve">On December 25, 2024, the SCNPC promulgated the Value-Added Tax Law of the PRC, which came into effect on January 1, 2026, and the Regulation on the Implementation of the Value-Added Tax Law of the PRC, which came into effect on the same day. Pursuant to the Value-Added Tax Law of the PRC and its implementation regulation, unless otherwise stipulated by relevant laws and regulations,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purchases can be offset against such output VAT. </w:t>
      </w:r>
    </w:p>
    <w:p>
      <w:pPr>
        <w:pStyle w:val="TextBody"/>
        <w:bidi w:val="0"/>
        <w:spacing w:before="240" w:after="0"/>
        <w:jc w:val="left"/>
        <w:rPr>
          <w:rFonts w:ascii="Times New Roman" w:hAnsi="Times New Roman"/>
          <w:sz w:val="20"/>
        </w:rPr>
      </w:pPr>
      <w:r>
        <w:rPr>
          <w:rFonts w:ascii="Times New Roman" w:hAnsi="Times New Roman"/>
          <w:sz w:val="20"/>
        </w:rPr>
        <w:t xml:space="preserve">On April 4, 2018, the MOF and the SAT issued the Notice on Adjustment of VAT Rates, which took effect on May 1, 2018 and provides that the taxable goods previously subject to VAT rates of 17% and 11% respectively are subject to lower VAT rates of 16% and 10% respectively starting from May 1, 2018. Furthermore, according to the Announcement on Relevant Policies for Deepening Value-added Tax Reform jointly promulgated by the MOF, the SAT and the General Administration of Customs, which became effective on April 1, 2019, the taxable goods previously subject to VAT rates of 16% and 10% respectively become subject to lower VAT rates of 13% and 9% respectively starting from April 1, 2019.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M&amp;A Rules and Overseas Listings </w:t>
      </w:r>
    </w:p>
    <w:p>
      <w:pPr>
        <w:pStyle w:val="TextBody"/>
        <w:bidi w:val="0"/>
        <w:spacing w:before="120" w:after="0"/>
        <w:jc w:val="left"/>
        <w:rPr>
          <w:rFonts w:ascii="Times New Roman" w:hAnsi="Times New Roman"/>
          <w:sz w:val="20"/>
        </w:rPr>
      </w:pPr>
      <w:r>
        <w:rPr>
          <w:rFonts w:ascii="Times New Roman" w:hAnsi="Times New Roman"/>
          <w:sz w:val="20"/>
        </w:rPr>
        <w:t xml:space="preserve">On August 8, 2006, six PRC regulatory agencies, including the CSRC, adopted the Regulations on Mergers of Domestic Enterprises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and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Furthermore, certain PRC regulatory authorities issued Opinions on Strictly Cracking Down on Illegal Securities Activities, which were available to the public on July 6, 2021 and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promulgated the Overseas Listing Trial Measures, and relevant five guidelines on the application of Regulatory Rules, which took effect from March 31, 2023, requiring Chinese domestic companies’ overseas securities offerings or listings be filed with the CSRC. The Overseas Listing Trial Measures clarify the scope of overseas offerings or listings by Chinese domestic companies which are subject to the filing and reporting requirements thereunder, and provide, among others, that Chinese domestic companies that have already directly or indirectly offered and listed securities in overseas markets prior to the effectiveness of the Overseas Listing Trial Measures shall fulfil their filing obligations and report relevant information to the CSRC within three working days after conducting a follow-on securities offering on the same overseas market, and follow the relevant reporting requirements within three working days upon the occurrence and public disclosure of any specified circumstances provided thereunder, including (i) change of control; (ii) investigations or sanctions imposed by overseas securities regulatory agencies or other relevant competent authorities; (iii) change of listing status or transfer of listing segment; (iv) voluntary or mandatory delisting. In addition, where the main business of an issuer undergoes material change after overseas offering and listing, and is therefore beyond the scope of business stated in the filing documents, such issuer shall follow the relevant reporting requirements within three working days after occurrence of the changes. For violations of these provisions or measures, the competent Chinese authorities may impose administrative regulatory measures, such as orders for correction, warnings, fines, and may pursue legal liability in accordance with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on February 24, 2023, the CSRC, together with certain other PRC governmental authorities, promulgated the Provisions on Strengthening Confidentiality and Archives Administration of Overseas Securities Offering and Listing by Domestic Companies (“Revised Confidentiality and Archives Administration Provisions”), which came into effect on March 31, 2023. According to the Revised Confidentiality and Archives Administration Provisions, Chinese companies that directly or indirectly conduct overseas offerings and listings, shall strictly abide by the relevant laws and regulations on confidentiality when providing or publicly disclosing, either directly or through their overseas listed entities, documents and materials to securities service providers such as securities companies and accounting firms or overseas regulators in the process of their overseas offering and listing. In the event such documents or materials contain state secrets or working secrets of government agencies, the Chinese companies shall first obtain approval from competent authorities according to law, and file with the secrecy administrative department at the same level with the approving authority; in the event that such documents or materials, if divulged, will jeopardize national security or public interest, the Chinese companies shall strictly fulfill relevant procedures stipulated by applicable national regulations. The Chinese companies shall also provide a written statement of the specific state secrets and sensitive information provided when providing documents and materials to securities companies and securities service providers, and the securities companies and securities service providers shall properly retain such written statements for inspection. According to the Revised Confidentiality and Archives Administration Provisions, where overseas securities regulators or relevant competent authorities request to inspect, investigate or collect evidence from Chinese domestic companies concerning their overseas offering and listing or their securities companies and securities service providers that undertake securities business for such Chinese domestic companies, such inspection, investigation and evidence collection must be conducted under the cross-border regulatory cooperation mechanism, and the CSRC or competent authorities of the Chinese government will provide necessary assistance pursuant to bilateral and multilateral cooperation mechanism. </w:t>
      </w:r>
    </w:p>
    <w:p>
      <w:pPr>
        <w:pStyle w:val="TextBody"/>
        <w:bidi w:val="0"/>
        <w:spacing w:before="360" w:after="0"/>
        <w:jc w:val="left"/>
        <w:rPr>
          <w:rFonts w:ascii="Times New Roman" w:hAnsi="Times New Roman"/>
          <w:b/>
          <w:sz w:val="20"/>
        </w:rPr>
      </w:pPr>
      <w:r>
        <w:rPr>
          <w:rFonts w:ascii="Times New Roman" w:hAnsi="Times New Roman"/>
          <w:b/>
          <w:sz w:val="20"/>
        </w:rPr>
        <w:t xml:space="preserve">C. Organizational Structure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diagram illustrates our corporate structure as of March 31, 2026. Certain entities that are immaterial to our results of operations, business and financial condition are omitted. Except as otherwise specified, equity interests depicted in this diagram are held as to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5676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5676900"/>
                    </a:xfrm>
                    <a:prstGeom prst="rect">
                      <a:avLst/>
                    </a:prstGeom>
                  </pic:spPr>
                </pic:pic>
              </a:graphicData>
            </a:graphic>
          </wp:inline>
        </w:drawing>
      </w:r>
      <w:r>
        <w:rPr/>
        <w:t xml:space="preserve">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in our Class A ordinary shares and ADSs are purchasing equity interest in XPeng Inc.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Chengxing Zhidong and its subsidiaries are primarily involved in research and development, manufacturing and selling our Smart EVs and NEVs and providing after-sales services. One of Chengxing Zhidong’s subsidiaries, Zhaoqing Xiaopeng New Energy, holds an Enterprise Investment Project Filing Certificate of Guangdong Province for the Zhaoqing plant and has been listed in the Announcement of the Vehicle Manufacturers and Products issued by the MIIT, which enables it to be a qualified manufacturer of EVs.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(3)</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Guangdong Xiaopeng Motors Industry Holding Co., Ltd. and its subsidiaries are primarily involved in providing value-added services.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(4)</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equity interest in Zhipeng IoV is held by us, and Mr. Zhiyuan Chen holds the other 50% of the equity interest in Zhipeng IoV.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(5)</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equity interest in Yidian Smart Mobility is held by us, and Mr. Dawu Zhao holds the other 50% of the equity interest in Yidian Smart Mobility.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is wholly owned by Kuntu Technology. The ultimate holding company of Kuntu Technology is Guangzhou Chengpeng Technology Co., Ltd., in which Ms. Chuxu Li holds 100% of the equity interest.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(7)</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GIIA is wholly owned by Guangzhou Xuetao, and Mr. Yeqing Zheng, our vice president, holds 100% equity interest in Guangzhou Xuetao. </w:t>
            </w:r>
          </w:p>
        </w:tc>
      </w:tr>
    </w:tbl>
    <w:tbl>
      <w:tblPr>
        <w:tblW w:w="7600" w:type="dxa"/>
        <w:jc w:val="left"/>
        <w:tblInd w:w="0" w:type="dxa"/>
        <w:tblLayout w:type="fixed"/>
        <w:tblCellMar>
          <w:top w:w="0" w:type="dxa"/>
          <w:left w:w="0" w:type="dxa"/>
          <w:bottom w:w="0" w:type="dxa"/>
          <w:right w:w="0" w:type="dxa"/>
        </w:tblCellMar>
      </w:tblPr>
      <w:tblGrid>
        <w:gridCol w:w="305"/>
        <w:gridCol w:w="7295"/>
      </w:tblGrid>
      <w:tr>
        <w:trPr/>
        <w:tc>
          <w:tcPr>
            <w:tcW w:w="305" w:type="dxa"/>
            <w:tcBorders/>
            <w:vAlign w:val="center"/>
          </w:tcPr>
          <w:p>
            <w:pPr>
              <w:pStyle w:val="TableContents"/>
              <w:bidi w:val="0"/>
              <w:spacing w:before="0" w:after="283"/>
              <w:jc w:val="left"/>
              <w:rPr/>
            </w:pPr>
            <w:r>
              <w:rPr/>
              <w:t>(8)</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Wholly held by XPeng Dogotix Holdings Limited through intermediary holding entities.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Guangdong Pengxing Smart Co., Ltd. and its subsidiaries are primarily involved in research and development of robots with human-robot interaction functions.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Arrangements with the Group VIEs and Their Shareholders </w:t>
      </w:r>
    </w:p>
    <w:p>
      <w:pPr>
        <w:pStyle w:val="TextBody"/>
        <w:bidi w:val="0"/>
        <w:spacing w:before="120" w:after="0"/>
        <w:jc w:val="left"/>
        <w:rPr>
          <w:rFonts w:ascii="Times New Roman" w:hAnsi="Times New Roman"/>
          <w:sz w:val="20"/>
        </w:rPr>
      </w:pPr>
      <w:r>
        <w:rPr>
          <w:rFonts w:ascii="Times New Roman" w:hAnsi="Times New Roman"/>
          <w:sz w:val="20"/>
        </w:rPr>
        <w:t xml:space="preserve">XPeng Inc. is a Cayman Islands holding company, and the Group’s operations are primarily conducted through its subsidiaries in China and through contractual arrangements with the Group VIEs. Under the PRC laws and regulations, (i) the provision of value-added telecommunication service in the PRC is generally subject to foreign investment restrictions and license requirements, and therefore, we operate such business in China through Zhipeng IoV and Yidian Smart Mobility, which both operate our mobile Apps; (ii) the operation of land surface mobile surveying and preparation of true three-dimensional maps and navigation electronic maps is subject to foreign investment prohibitions and license requirements, and therefore, we operate such business in China through Xintu Technology and its subsidiary, which is Zhipeng Kongjian, which is primarily engaged in the operation of land surface mobile surveying and preparation of true three-dimensional maps and navigation electronic maps. We have applied for and received several surveying and mapping qualifications with respect to our business and will continue upgrading such qualifications; and (iii) the provision of insurance agency service in the PRC is subject to foreign investment restrictions and license requirements, and therefore, we operate such business in China through GIIA, which is primarily engaged in the business of providing insurance agency services.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series of contractual arrangements with each of Zhipeng IoV, Yidian Smart Mobility, Xintu Technology and GIIA, each a Group VIE, and its respective affiliate shareholders, as described in more details below, including (i) power of attorney agreements, equity interest pledge agreements and loan agreements, which provide us with effective control over such Group VIEs; (ii) exclusive service agreements, which allow us to receive substantially all of the economic benefits from such Group VIEs; and (iii) exclusive option agreements, which provide us with exclusive options to purchase all or part of the equity interests in or all or part of the assets of or inject registered capital into such Group VIEs when and to the extent permitted by PRC law.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contractual arrangements, we maintain a controlling financial interest as the primary beneficiary of the Group VIEs for accounting purposes (as defined in US GAAP, ASC 810). We have consolidated their financial results in our consolidated financial statements without owning a majority equity interest in Zhipeng IoV or Yidian Smart Mobility or any equity interest in Xintu Technology or GIIA. The Group VIEs do not have a material contribution to the Group’s results of operations and the Group VIEs do not support material revenues reported within other subsidiaries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Fangda Partners, our PRC legal counsel: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ownership structures of Xiaopeng Technology, Xiaopeng Smart Mobility, Xiaopeng Motors Sales and each of the Group VIEs in China do not and will not violate any applicable PRC law, regulation, or rule currently in effect;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arrangements among Xiaopeng Technology, Xiaopeng Smart Mobility, Xiaopeng Motors Sales, each of the Group VIEs and their shareholders governed by PRC laws are valid, binding and enforceable in accordance with their terms and applicable PRC laws, rules, and regulations currently in effect, and will not violate any applicable PRC law, regulation, or rule currently in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there are substantial uncertainties regarding the interpretation and application of current or future PRC laws and regulations related to the contractual arrangements. We have been further advised by our PRC legal counsel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“Item 3. Key Information—D. Risk Factors—Risks Relating to Our Corporate Structure.” </w:t>
      </w:r>
    </w:p>
    <w:p>
      <w:pPr>
        <w:pStyle w:val="TextBody"/>
        <w:bidi w:val="0"/>
        <w:spacing w:before="240" w:after="0"/>
        <w:jc w:val="left"/>
        <w:rPr>
          <w:rFonts w:ascii="Times New Roman" w:hAnsi="Times New Roman"/>
          <w:sz w:val="20"/>
        </w:rPr>
      </w:pPr>
      <w:r>
        <w:rPr>
          <w:rFonts w:ascii="Times New Roman" w:hAnsi="Times New Roman"/>
          <w:sz w:val="20"/>
        </w:rPr>
        <w:t xml:space="preserve">All the agreements under our contractual arrangements are governed by PRC laws and provide for the resolution of disputes through arbitration or court proceedings in China. For additional information, see “Item 3. Key Information—D. Risk Factors—Risks Relating to Our Corporate Structure—We rely on contractual arrangements with the Group VIEs and their respective affiliate shareholders to operate certain businesses that do not have and are not expected in the foreseeable future to have material revenue contributions to the Group. Such contractual arrangements may not be as effective as direct ownership in providing operational control and otherwise have a material adverse effect as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the currently effective contractual arrangements by and among (i) Xiaopeng Technology, Zhipeng IoV and its individual shareholders, (ii) Xiaopeng Smart Mobility, Yidian Smart Mobility and its individual shareholders, (iii) Xiaopeng Technology, Xintu Technology and its shareholder and (iv) Xiaopeng Motors Sales, GIIA, Guangzhou Xuetao and its individual shareholder.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Zhipeng IoV and Its Individual Shareholder(s) </w:t>
      </w:r>
    </w:p>
    <w:p>
      <w:pPr>
        <w:pStyle w:val="TextBody"/>
        <w:bidi w:val="0"/>
        <w:spacing w:before="120" w:after="0"/>
        <w:jc w:val="left"/>
        <w:rPr>
          <w:rFonts w:ascii="Times New Roman" w:hAnsi="Times New Roman"/>
          <w:i/>
          <w:sz w:val="20"/>
        </w:rPr>
      </w:pPr>
      <w:r>
        <w:rPr>
          <w:rFonts w:ascii="Times New Roman" w:hAnsi="Times New Roman"/>
          <w:i/>
          <w:sz w:val="20"/>
        </w:rPr>
        <w:t xml:space="preserve">Exclusive Service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exclusive service agreement executed in September 2021 (the “Zhipeng IoV 2021 Exclusive Service Agreement”), Zhipeng IoV appointed Xiaopeng Technology as its exclusive services provider to provide Zhipeng IoV with services related to Zhipeng IoV’s business during the term of the Zhipeng IoV 2021 Exclusive Service Agreement. In light of the relevant changes in Zhipeng IoV’s shareholding structure in 2024, Zhipeng IoV and Xiaopeng Technology further entered into an exclusive service agreement on April 20, 2024 (the “Zhipeng IoV 2024 Exclusive Service Agreement”), which replaced the Zhipeng IoV 2021 Exclusive Service Agreement. Pursuant to the Zhipeng IoV 2024 Exclusive Service Agreement, in consideration for the services provided by Xiaopeng Technology, Zhipeng IoV shall pay Xiaopeng Technology annual fees, which should be mutually agreed by both parties and can be adjusted according to Xiaopeng Technology’s suggestion to the extent permitted by PRC law. Unless terminated in accordance with the provisions of the Zhipeng IoV 2024 Exclusive Service Agreement or terminated in writing by Xiaopeng Technology, the Zhipeng IoV 2024 Exclusive Service Agreement shall remain effective for 20 years from April 20, 2024 , and can be automatically renewed for one year every sequent year unless otherwise terminated in accordance with the terms of the Zhipeng IoV 2024 Exclusive Service Agreement or by a written notice served by Xiaopeng Technology. The Zhipeng IoV 2024 Exclusive Service Agreement also provides that Xiaopeng Technology has the exclusive proprietary rights in any and all intellectual property rights which are developed by Zhipeng IoV at the request of Xiaopeng Technology or are developed by the parties jointly. Our directors consider that the above arrangements will ensure the economic benefits generated from the operations of Zhipeng IoV will flow to Xiaopeng Technology and hence, our company as a whole. </w:t>
      </w:r>
    </w:p>
    <w:p>
      <w:pPr>
        <w:pStyle w:val="TextBody"/>
        <w:bidi w:val="0"/>
        <w:spacing w:before="360" w:after="0"/>
        <w:jc w:val="left"/>
        <w:rPr>
          <w:rFonts w:ascii="Times New Roman" w:hAnsi="Times New Roman"/>
          <w:i/>
          <w:sz w:val="20"/>
        </w:rPr>
      </w:pPr>
      <w:r>
        <w:rPr>
          <w:rFonts w:ascii="Times New Roman" w:hAnsi="Times New Roman"/>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agreement executed in September 2021 (the “Zhipeng IoV 2021 Loan Agreement”), Xiaopeng Technology provided the then individual shareholders of Zhipeng IoV with a loan in the aggregate amount of RMB5.0 million to fund business activities as permitted by Xiaopeng Technology. The then individual shareholders agreed that the proceeds from the transfer of their respective equity interests in Zhipeng IoV, pursuant to the exercise of the right to acquire such equity interest by Xiaopeng Technology under the exclusive option agreement, may be used by such individual shareholders to repay the loan to the extent permitted under PRC law. The Zhipeng IoV 2021 Loan Agreement will remain effective until the earlier of (i) 20 years after the execution date of the Zhipeng IoV 2021 Loan Agreement; (ii) the expiry date of Xiaopeng Technology’s licensed operating period; and (iii) the expiry date of Zhipeng IoV’s licensed operating period. During the term of Zhipeng IoV 2021 Loan Agreement, Xiaopeng Technology has the right, at its sole and absolute discretion, to accelerate maturity of loan at any time. On April 20, 2024, the former individual shareholders of Zhipeng IoV, the current individual shareholder of Zhipeng IoV and Xiaopeng Technology entered into a tri-party loan assignment agreement (the “Zhipeng IoV Loan Assignment Agreement”), pursuant to which the former individual shareholders of Zhipeng IoV assigned all of their rights and obligations under the Zhipeng IoV 2021 Loan Agreement to the current individual shareholder of Zhipeng IoV, and Xiaopeng Technology agreed that the current individual shareholder of Zhipeng IoV to assume all of the rights and obligations of the former individual shareholders of Zhipeng IoV under the Zhipeng IoV 2021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Equity Interest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Zhipeng IoV, Zhipeng IoV and Xiaopeng Technology entered into an equity interest pledge agreement (the “Zhipeng IoV 2024 Equity Interest Pledge Agreement”), which replaced the equity interest pledge agreement previously executed in September 2021 by and among the then individual shareholders of Zhipeng IoV, Zhipeng IoV and Xiaopeng Technology. Pursuant to the Zhipeng IoV 2024 Equity Interest Pledge Agreement, the current individual shareholder of Zhipeng IoV has pledged all its equity interests in Zhipeng IoV as a security interest, as applicable, to guarantee Zhipeng IoV and such shareholder’s performance of their respective obligations under the relevant contractual arrangements, which include the Zhipeng IoV 2024 Exclusive Service Agreement, the Zhipeng IoV 2024 Exclusive Option Agreement, the Zhipeng IoV 2024 Power of Attorney, the Zhipeng IoV 2021 Loan Agreement and the Zhipeng IoV Loan Assignment Agreement. If Zhipeng IoV or its current individual shareholder breaches their respective contractual obligations under these agreements, Xiaopeng Technology, as pledgee, will be entitled to certain rights regarding the pledged equity interests. In the event of any such breaches, upon giving written notice to Zhipeng IoV’s current individual shareholder, Xiaopeng Technology to the extent permitted by PRC laws may exercise the right to enforce the pledge, which is being paid in priority with the equity interests of Zhipeng IoV from the proceeds from auction or sale of the equity interests. The current individual shareholder of Zhipeng IoV agrees that, during the term of the Zhipeng IoV 2024 Equity Interest Pledge Agreement, such shareholder shall not transfer the equity interests, place or permit the existence of any security interest or other encumbrance on the equity interests or any portion thereof, without the prior written consent of Xiaopeng Technology. Zhipeng IoV’s current individual shareholder may receive dividends distributed on the equity interests only with the prior consent of Xiaopeng Technology. The Zhipeng IoV 2024 Equity Interest Pledge Agreement remains effective until all obligations under the relevant contractual agreements have been fully performed or all secured indebtedness have been fully paid,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The equity pledge under the Zhipeng IoV 2024 Equity Interest Pledge Agreement takes effect upon the completion of registration with the relevant PRC government authority. The registration of the equity interest pledge under the Zhipeng IoV 2024 Equity Interest Pledge Agreement, as required by the relevant laws and regulations, has been completed in accordance with PRC laws. </w:t>
      </w:r>
    </w:p>
    <w:p>
      <w:pPr>
        <w:pStyle w:val="TextBody"/>
        <w:bidi w:val="0"/>
        <w:spacing w:before="360" w:after="0"/>
        <w:jc w:val="left"/>
        <w:rPr>
          <w:rFonts w:ascii="Times New Roman" w:hAnsi="Times New Roman"/>
          <w:i/>
          <w:sz w:val="20"/>
        </w:rPr>
      </w:pPr>
      <w:r>
        <w:rPr>
          <w:rFonts w:ascii="Times New Roman" w:hAnsi="Times New Roman"/>
          <w:i/>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Zhipeng IoV, Zhipeng IoV and Xiaopeng Technology entered into a power of attorney (the “Zhipeng IoV 2024 Power of Attorney”), which replaced the power of attorney previously executed in September 2021 by and among each of the then individual shareholders of Zhipeng IoV, Zhipeng IoV and Xiaopeng Technology. Pursuant to the Zhipeng IoV 2024 Power of Attorney, the current individual shareholder of Zhipeng IoV has irrevocably undertaken to appoint Xiaopeng Technology or its designated persons (including but not limited to directors and their successors and liquidators replacing but excluding those non-independent or who may give rise to conflict of interests) to exercise the following rights relating to all equity interests held by the current individual shareholder of Zhipeng IoV during the term of the Zhipeng IoV 2024 Power of Attorney: to act on behalf of such shareholder as his exclusive agent and as his attorney-in-fact to exercise such shareholder’s rights in Zhipeng IoV according to the articles of association of Zhipeng IoV, including but not limited to, the rights to (i) convene and participate in shareholders’ meeting pursuant to the articles of Zhipeng IoV in the capacity of a proxy of the current individual shareholder of Zhipeng IoV; (ii) exercise the voting rights, and adopt resolutions, on matters to be discussed and resolved at shareholders’ meetings and the appointment and election of directors, supervisors and other senior management of Zhipeng IoV to be appointed by the shareholders, dispose the company assets, amend the articles of Zhipeng IoV and exercise the rights of the current individual shareholder in the event of liquidation of Zhipeng IoV; (iii) sign or submit any required document to any company registry or other authorities in the capacity of a proxy of the current individual shareholder; (iv) to exercise rights of the current individual shareholder and any other voting rights of current individual shareholder under the relevant PRC laws and regulations and the articles of associations of Zhipeng IoV, as amended; (v) subject to (ii), to sign and execute any related documents including but not limited to share transfer agreements, asset transfer agreements and shareholder resolutions when there is a transfer of shareholding in Zhipeng IoV by the current individual shareholder in accordance with the Zhipeng IoV 2024 Exclusive Option Agreement, assets transfer, capital reduction or capital increase in Zhipeng IoV; and (vi) to instruct the directors and senior officers to act in accordance with the instruction of Xiaopeng Technology and its designated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other terms in the Zhipeng IoV 2024 Power of Attorney, the Zhipeng IoV 2024 Power of Attorney shall remain effective for 20 years from April 20, 2024 and can be automatically renewed for one year every sequent year. The Zhipeng IoV 2024 Power of Attorney may be terminated by mutual agreement of the relevant parties in writing or when there is a breach of the Zhipeng IoV 2024 Power of Attorney by Zhipeng IoV or its current individual shareholder which is not remedied within a reasonable time or 10 days after being requested to remedy the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Exclusive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Zhipeng IoV, Zhipeng IoV and Xiaopeng Technology entered into an exclusive option agreement (the “Zhipeng IoV 2024 Exclusive Option Agreement”), which replaced the exclusive option agreement previously executed in September 2021 by and among each individual shareholder of Zhipeng IoV at the time, Zhipeng IoV and Xiaopeng Technology. Pursuant to the Zhipeng IoV 2024 Exclusive Option Agreement, Zhipeng IoV and its current individual shareholder, jointly and severally, have irrevocably granted Xiaopeng Technology an irrevocable and exclusive right to purchase and require Zhipeng IoV’s current individual shareholder to transfer, or designate one or more entities or persons to purchase and require Zhipeng IoV’s current individual shareholder to transfer the equity interests in Zhipeng IoV then held by such current individual shareholder, and the assets of Zhipeng IoV, once or at multiple times at any time in part or in whole at Xiaopeng Technology’s sole and absolute discretion to the extent permitted by PRC law. The purchase or transfer price for the equity interests in Zhipeng IoV shall be equal to the amount of relevant registered capital actually contributed by the current individual shareholder in Zhipeng IoV while the purchase price for the assets of Zhipeng IoV shall be equal to the net book value of such assets, and if such amount in each case is lower than the minimum price permitted by PRC law, the minimum price permitted by PRC law shall be the purchase price. This agreement will remain effective until all equity interests of Zhipeng IoV held by its current individual shareholders and all of Zhipeng IoV’s assets have been transferred or assigned to Xiaopeng Technology or its designated entities or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relevant PRC laws and regulations, Zhipeng IoV’s current individual shareholder has also undertaken that he will return to Xiaopeng Technology any consideration he receives in the event that Xiaopeng Technology exercises the options under the Zhipeng IoV 2024 Exclusive Option Agreement to acquire the equity interests in Zhipeng IoV.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Zhipeng IoV 2024 Exclusive Option Agreement, Zhipeng IoV and its current individual shareholder have respectively undertaken to perform certain acts or refrain from performing certain other acts unless they have obtained prior approval from Xiaopeng Technology, including but not limited to matters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(1)</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individual shareholder shall not transfer or dispose in any manner the exclusive option or grant any security over or create any third party rights over the exclusive option;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290"/>
        <w:gridCol w:w="81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increase or reduce its registered capital, or cause it to merge with other entity;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290"/>
        <w:gridCol w:w="80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dispose of any material assets (other than in its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(4)</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terminate any material contract or enter into any contract that will conflict with existing material contracts;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(5)</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individual shareholder shall not appoint or remove any director, supervisor or any other officer that should be appointed by them;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290"/>
        <w:gridCol w:w="6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distribute any distributable profit, bonus or dividend;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(7)</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take any action (including inaction) that will affect its continued existence or adopt any action that will lead to the possibility of its cessation of business, liquidation or dissolution;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290"/>
        <w:gridCol w:w="3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amend its articles;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(9)</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Zhipeng IoV shall not lend or borrow any fund, provide guarantee or any form of security, or undertake any substantial obligations other than in its ordinary business operation.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Contractual Arrangements with Yidian Smart Mobility and Its Shareholders </w:t>
      </w:r>
    </w:p>
    <w:p>
      <w:pPr>
        <w:pStyle w:val="TextBody"/>
        <w:bidi w:val="0"/>
        <w:spacing w:before="120" w:after="0"/>
        <w:jc w:val="left"/>
        <w:rPr>
          <w:rFonts w:ascii="Times New Roman" w:hAnsi="Times New Roman"/>
          <w:i/>
          <w:sz w:val="20"/>
        </w:rPr>
      </w:pPr>
      <w:r>
        <w:rPr>
          <w:rFonts w:ascii="Times New Roman" w:hAnsi="Times New Roman"/>
          <w:i/>
          <w:sz w:val="20"/>
        </w:rPr>
        <w:t xml:space="preserve">Exclusive Service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exclusive service agreement executed in September 2021 (the “Yidian Smart Mobility 2021 Exclusive Service Agreement”), Yidian Smart Mobility appointed Xiaopeng Smart Mobility as its exclusive services provider to provide Yidian Smart Mobility with services related to Yidian Smart Mobility’s business during the term of the Yidian Smart Mobility 2021 Exclusive Service Agreement. In light of the relevant changes in Yidian Smart Mobility’s shareholding structure in 2024, Yidian Smart Mobility and Xiaopeng Smart Mobility further entered into an exclusive service agreement on April 20, 2024 (the “Yidian Smart Mobility 2024 Exclusive Service Agreement”), which replaced the Yidian Smart Mobility 2021 Exclusive Service Agreement. Pursuant to the Yidian Smart Mobility 2024 Exclusive Service Agreement, in consideration for the services provided by Xiaopeng Smart Mobility, Yidian Smart Mobility shall pay Xiaopeng Smart Mobility annual fees, which should be mutually agreed by both parties and can be adjusted according to Xiaopeng Smart Mobility’s suggestion to the extent permitted by PRC law. Unless terminated in accordance with the provisions of the Yidian Smart Mobility 2024 Exclusive Service Agreement or terminated in writing by Xiaopeng Smart Mobility, the Yidian Smart Mobility 2024 Exclusive Service Agreement shall remain effective for 20 years, starting from April 20, 2024, and can be automatically renewed for one year every sequent year unless otherwise terminated in accordance with the terms of the Yidian Smart Mobility 2024 Exclusive Service Agreement or by a written notice served by Xiaopeng Smart Mobility. The Yidian Smart Mobility 2024 Exclusive Service Agreement also provides that Xiaopeng Smart Mobility has the exclusive proprietary rights in any and all intellectual property rights which are developed by Yidian Smart Mobility at the request of Xiaopeng Smart Mobility or are developed by the parties jointly. The above arrangements will ensure the economic benefits generated from the operations of Yidian Smart Mobility will flow to Xiaopeng Smart Mobility and hence, our company as a whole. </w:t>
      </w:r>
    </w:p>
    <w:p>
      <w:pPr>
        <w:pStyle w:val="TextBody"/>
        <w:bidi w:val="0"/>
        <w:spacing w:before="360" w:after="0"/>
        <w:jc w:val="left"/>
        <w:rPr>
          <w:rFonts w:ascii="Times New Roman" w:hAnsi="Times New Roman"/>
          <w:i/>
          <w:sz w:val="20"/>
        </w:rPr>
      </w:pPr>
      <w:r>
        <w:rPr>
          <w:rFonts w:ascii="Times New Roman" w:hAnsi="Times New Roman"/>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agreement executed in September 2021 (the “Yidian Smart Mobility 2021 Loan Agreement”), Xiaopeng Smart Mobility provided the then individual shareholders of Yidian Smart Mobility with a loan in the aggregate amount of RMB5.0 million to fund business activities as permitted by Xiaopeng Smart Mobility. The then individual shareholders agreed that the proceeds from the transfer of their respective equity interests in Yidian Smart Mobility, pursuant to the exercise of the right to acquire such equity interests by Xiaopeng Smart Mobility under the exclusive option agreement, may be used by such individual shareholders to repay the loan to the extent permitted under PRC law. The Yidian Smart Mobility 2021 Loan Agreement will remain effective until the earlier of (i) 20 years after the execution date of the Yidian Smart Mobility 2021 Loan Agreement; (ii) the expiry date of Xiaopeng Smart Mobility’s licensed operating period; and (iii) the expiry date of Yidian Smart Mobility’s licensed operating period. During the term of Yidian Smart Mobility 2021 Loan Agreement, Xiaopeng Smart Mobility has the right, at its sole and absolute discretion, to accelerate maturity of loan at any time. On April 20, 2024, the former individual shareholders of Yidian Smart Mobility, the current individual shareholder of Yidian Smart Mobility and Xiaopeng Smart Mobility entered into a tri-party loan assignment agreement (the “Yidian Smart Mobility Loan Assignment Agreement”), pursuant to which the former individual shareholders of Yidian Smart Mobility assigned all of their rights and obligations under the Yidian Smart Mobility 2021 Loan Agreement to the current individual shareholder of Yidian Smart Mobility, and Xiaopeng Smart Mobility agreed that the current individual shareholder of Yidian Smart Mobility would assume all of the rights and obligations of the former individual shareholders of Yidian Smart Mobility under the Yidian Smart Mobility 2021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Equity Interest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Yidian Smart Mobility, Yidian Smart Mobility and Xiaopeng Smart Mobility entered into an equity interest pledge agreement (the “Yidian Smart Mobility 2024 Equity Interest Pledge Agreement”), which replaced the equity interest pledge agreement previously executed in September 2021 by and among the then individual shareholders of Yidian Smart Mobility, Yidian Smart Mobility and Xiaopeng Smart Mobility. Pursuant to the Yidian Smart Mobility 2024 Equity Interest Pledge Agreement, the current individual shareholder of Yidian Smart Mobility has pledged all of such shareholder’s equity interests in Yidian Smart Mobility as a security interest, as applicable, to guarantee Yidian Smart Mobility and its individual shareholder’s performance of their respective obligations under the relevant contractual arrangements, which include the Yidian Smart Mobility 2024 Exclusive Service Agreement, the Yidian Smart Mobility 2024 Exclusive Option Agreement, the Yidian Smart Mobility 2024 Power of Attorney, the Yidian Smart Mobility 2021 Loan Agreement and the Yidian Smart Mobility Loan Assignment Agreement. If Yidian Smart Mobility or its current individual shareholder breaches their contractual obligations under these agreements, Xiaopeng Smart Mobility, as pledgee, will be entitled to certain rights regarding the pledged equity interests. In the event of such breaches, upon giving written notice to Yidian Smart Mobility’s current individual shareholder, Xiaopeng Smart Mobility to the extent permitted by PRC laws may exercise the right to enforce the pledge, which is being paid in priority with the equity interests of Yidian Smart Mobility from the proceeds from auction or sale of the equity interests. The current individual shareholder of Yidian Smart Mobility agrees that, during the term of the Yidian Smart Mobility 2024 Equity Interest Pledge Agreement, such shareholder shall not transfer the equity interests, place or permit the existence of any security interests or other encumbrance on the equity interests or any portion thereof, without the prior written consent of Xiaopeng Smart Mobility. Yidian Smart Mobility’s current individual shareholder may receive dividends distributed on the equity interests only with prior consent of Xiaopeng Smart Mobility. The Yidian Smart Mobility 2024 Equity Interest Pledge Agreement remains effective until all obligations under the relevant contractual agreements have been fully performed or all secured indebtedness have been fully paid,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The equity pledge under the Yidian Smart Mobility 2024 Equity Interest Pledge Agreement takes effect upon the completion of registration with the relevant PRC government authority. The registration of the equity interest pledge under the Yidian Smart Mobility 2024 Equity Interest Pledge Agreement, as required by the relevant laws and regulations, has been completed in accordance with PRC laws. </w:t>
      </w:r>
    </w:p>
    <w:p>
      <w:pPr>
        <w:pStyle w:val="TextBody"/>
        <w:bidi w:val="0"/>
        <w:spacing w:before="360" w:after="0"/>
        <w:jc w:val="left"/>
        <w:rPr>
          <w:rFonts w:ascii="Times New Roman" w:hAnsi="Times New Roman"/>
          <w:i/>
          <w:sz w:val="20"/>
        </w:rPr>
      </w:pPr>
      <w:r>
        <w:rPr>
          <w:rFonts w:ascii="Times New Roman" w:hAnsi="Times New Roman"/>
          <w:i/>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Yidian Smart Mobility, Yidian Smart Mobility and Xiaopeng Smart Mobility entered into a power of attorney (the “Yidian Smart Mobility 2024 Power of Attorney”), which replaced the power of attorney previously executed in September 2021 by and among each of the then individual shareholders of Yidian Smart Mobility, Yidian Smart Mobility and Xiaopeng Smart Mobility. Pursuant to the Yidian Smart Mobility 2024 Power of Attorney, the current individual shareholder of Yidian Smart Mobility has irrevocably undertaken to appoint Xiaopeng Smart Mobility or its designated persons (including but not limited directors and their successors and liquidators replacing but excluding those non-independent or who may give rise to conflict of interests) to exercise the following rights relating to all equity interests held by the current individual shareholders of Yidian Smart Mobility during the term of the Yidian Smart Mobility 2024 Power of Attorney: to act on behalf of such shareholder as his exclusive agent and as his attorney-in-fact to exercise such shareholder’s rights in Yidian Smart Mobility according to the articles of association of Yidian Smart Mobility, including but not limited to, the rights to (i) convene and participate in shareholders’ meeting pursuant to the articles of Yidian Smart Mobility in the capacity of a proxy of the current individual shareholder of Yidian Smart Mobility; (ii) exercise the voting rights, and adopt resolutions, on matters to be discussed and resolved at shareholders’ meetings and the appointment and election of directors, supervisors and other senior management of Yidian Smart Mobility to be appointed by the shareholders, dispose the company assets, amend the articles of Yidian Smart Mobility and exercise the rights of the current individual shareholder in the event of liquidation of Yidian Smart Mobility; (iii) sign or submit any required document, which shall include meeting minutes, to any company registry or other authorities in the capacity of a proxy of the current individual shareholder; (iv) to exercise rights of the current individual shareholder and any other voting rights of the current individual shareholder under the relevant PRC laws and regulations and the articles of associations of Yidian Smart Mobility, as amended; (v) subject to (ii), to sign and execute any related documents including but not limited to share transfer agreements, asset transfer agreements and individual shareholder resolutions when there is a transfer of shareholding in Yidian Smart Mobility by the current individual shareholder in accordance with the Yidian Smart Mobility 2024 Exclusive Option Agreement, assets transfer, capital reduction or capital increase in Yidian Smart Mobility; and (vi) to instruct the directors and senior officers to act in accordance with the instruction of Xiaopeng Smart Mobility and its designated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other terms in the Yidian Smart Mobility 2024 Power of Attorney, the Yidian Smart Mobility 2024 Power of Attorney shall remain effective for 20 years from April 20, 2024, and can be automatically renewed for one year every sequent year. The Yidian Smart Mobility 2024 Power of Attorney may be terminated by mutual agreement of the relevant parties in writing or when there is a breach of the Yidian Smart Mobility 2024 Power of Attorney by Yidian Smart Mobility or its current individual shareholder which is not remedied within a reasonable time or 10 days after being requested to remedy the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Exclusive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20, 2024, the current individual shareholder of Yidian Smart Mobility, Yidian Smart Mobility and Xiaopeng Smart Mobility entered into an exclusive option agreement (the “Yidian Smart Mobility 2024 Exclusive Option Agreement”), which replaced the exclusive option agreement previously executed in September 2021 by and among each of the then individual shareholders of Yidian Smart Mobility, Yidian Smart Mobility and Xiaopeng Smart Mobility. Pursuant to the Yidian Smart Mobility 2024 Exclusive Option Agreement, Yidian Smart Mobility and its current individual shareholder, jointly and severally, have irrevocably granted Xiaopeng Smart Mobility an irrevocable and exclusive right to purchase and require Yidian Smart Mobility’s current individual shareholder to transfer, or designate one or more entities or persons to purchase and require Yidian Smart Mobility’s current individual shareholder to transfer the equity interests in Yidian Smart Mobility then held by such individual shareholder, and the assets of Yidian Smart Mobility, once or at multiple times at any time in part or in whole at Xiaopeng Smart Mobility’s sole and absolute discretion to the extent permitted by PRC law. The purchase or transfer price for the equity interests shall be equal to the amount of the relevant registered capital actually contributed by the current individual shareholder in Yidian Smart Mobility while the purchase price for the assets of Yidian Smart Mobility shall be equal to the net book value of such assets, and if such amount in each case is lower than the minimum price permitted by PRC law, the minimum price permitted by PRC law shall be the purchase price. This agreement will remain effective until all equity interests of Yidian Smart Mobility held by its current individual shareholder and all of Yidian Smart Mobility’s assets have been transferred or assigned to Xiaopeng Smart Mobility or its designated entities or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relevant PRC laws and regulations, Yidian Smart Mobility’s current individual shareholder has also undertaken that he will return to Xiaopeng Smart Mobility any consideration he receives in the event that Xiaopeng Smart Mobility exercises the options under the Yidian Smart Mobility 2024 Exclusive Option Agreement to acquire the equity interests in Yidian Smart Mobility.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Yidian Smart Mobility 2024 Exclusive Option Agreement, Yidian Smart Mobility and its current individual shareholder have respectively undertaken to perform certain acts or refrain from performing certain other acts unless they have obtained prior approval from Xiaopeng Smart Mobility, including but not limited to matters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(1)</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individual shareholder shall not transfer or dispose in any manner the exclusive option or grant any security over or create any third party rights over the exclusive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increase or reduce the registered capital of the Company, or cause the Company to merge with other entity;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290"/>
        <w:gridCol w:w="88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dispose of any material assets (other than in its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(4)</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terminate any material contract or enter into any contract that will conflict with existing material contracts;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(5)</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individual shareholder shall not appoint or remove any director, supervisor or any other officer that should be appointed by them;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290"/>
        <w:gridCol w:w="70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distribute any distributable profit, bonus or dividend;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(7)</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take any action (including inaction) that will affect its continued existence or adopt any action that will lead to the possibility of its cessation of business, liquidation or dissolution;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900" w:type="dxa"/>
        <w:jc w:val="left"/>
        <w:tblInd w:w="0" w:type="dxa"/>
        <w:tblLayout w:type="fixed"/>
        <w:tblCellMar>
          <w:top w:w="0" w:type="dxa"/>
          <w:left w:w="0" w:type="dxa"/>
          <w:bottom w:w="0" w:type="dxa"/>
          <w:right w:w="0" w:type="dxa"/>
        </w:tblCellMar>
      </w:tblPr>
      <w:tblGrid>
        <w:gridCol w:w="75"/>
        <w:gridCol w:w="290"/>
        <w:gridCol w:w="45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amend its articles;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(9)</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Yidian Smart Mobility shall not lend or borrow any fund, provide guarantee or any form of security, or undertake any substantial obligations other than in its ordinary business operation.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Xintu Technology and Its Shareholder </w:t>
      </w:r>
    </w:p>
    <w:p>
      <w:pPr>
        <w:pStyle w:val="TextBody"/>
        <w:bidi w:val="0"/>
        <w:spacing w:before="120" w:after="0"/>
        <w:jc w:val="left"/>
        <w:rPr>
          <w:rFonts w:ascii="Times New Roman" w:hAnsi="Times New Roman"/>
          <w:i/>
          <w:sz w:val="20"/>
        </w:rPr>
      </w:pPr>
      <w:r>
        <w:rPr>
          <w:rFonts w:ascii="Times New Roman" w:hAnsi="Times New Roman"/>
          <w:i/>
          <w:sz w:val="20"/>
        </w:rPr>
        <w:t xml:space="preserve">Exclusive Service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exclusive service agreement executed in August 2021, Xintu Technology appointed Xiaopeng Technology as its exclusive services provider to provide Xintu Technology with services related to Xintu Technology’s business during the term of the exclusive service agreement. In consideration for the services provided by Xiaopeng Technology, Xintu Technology shall pay Xiaopeng Technology annual fees, which should be mutually agreed by both parties and can be adjusted according to Xiaopeng Technology’s suggestion to the extent permitted by PRC law. Unless terminated in accordance with the provisions of the exclusive service agreement or terminated in writing by Xiaopeng Technology, the exclusive service agreement shall remain effective for 20 years from August 12, 2021, and can be automatically renewed for one year every sequent year unless otherwise terminated by a written notice served by Xiaopeng Technology. The exclusive service agreement also provides that Xiaopeng Technology has the exclusive proprietary rights in any and all intellectual property rights which are developed by Xintu Technology at the request of Xiaopeng Technology or are developed by the parties jointly. Our directors consider that the above arrangements will ensure the economic benefits generated from the operations of Xintu Technology will flow to Xiaopeng Technology and hence, our company as a whole. </w:t>
      </w:r>
    </w:p>
    <w:p>
      <w:pPr>
        <w:pStyle w:val="TextBody"/>
        <w:bidi w:val="0"/>
        <w:spacing w:before="360" w:after="0"/>
        <w:jc w:val="left"/>
        <w:rPr>
          <w:rFonts w:ascii="Times New Roman" w:hAnsi="Times New Roman"/>
          <w:i/>
          <w:sz w:val="20"/>
        </w:rPr>
      </w:pPr>
      <w:r>
        <w:rPr>
          <w:rFonts w:ascii="Times New Roman" w:hAnsi="Times New Roman"/>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agreement executed in August 2021, Xiaopeng Technology should provide the shareholder of Xintu Technology with a loan in the aggregate amount of RMB2.0 million to fund business activities as permitted by Xiaopeng Technology. The shareholder agrees that the proceeds from the transfer of the equity interest of the shareholder in Xintu Technology, pursuant to the exercise of the right to acquire such equity interest by Xiaopeng Technology under the exclusive option agreement, may be used by the shareholder to repay the loan to the extent permitted under PRC law. The loan agreement will remain effective until the earlier of (i) 20 years after the execution date of the loan agreement; (ii) the expiry date of Xiaopeng Technology’s licensed operating period; and (iii) the expiry date of Xintu Technology’s licensed operating period. During the term of loan agreement, Xiaopeng Technology has the right, at its sole and absolute discretion, to accelerate maturity of loan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Equity Interest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interest pledge agreement executed in August 2021, the shareholder of Xintu Technology has pledged all of its equity interest in Xintu Technology as a security interest, as applicable, to respectively guarantee Xintu Technology and its shareholder’s performance of their obligations under the relevant contractual arrangement, which include the exclusive service agreement, exclusive option agreement, power of attorney and loan agreement. If Xintu Technology or its shareholder breaches their contractual obligations under these agreements, Xiaopeng Technology, as pledgee, will be entitled to certain rights regarding the pledged equity interests. In the event of such breaches, upon giving written notice to Xintu Technology’s shareholder, Xiaopeng Technology, to the extent permitted by PRC laws, may exercise the right to enforce the pledge, which is being paid in priority with the equity interest of Xintu Technology from the proceeds from auction or sale of the equity interest. The shareholder of Xintu Technology agrees that, during the term of the equity interest pledge agreements, such shareholder shall not transfer the equity interest, place or permit the existence of any security interest or other encumbrance on the equity interest or any portion thereof, without the prior written consent of Xiaopeng Technology. Xintu Technology’s shareholder may receive dividends distributed on the equity interest only with prior consent of Xiaopeng Technology. The equity interest pledge agreements remain effective until all obligations under the relevant contractual agreements have been fully performed or all secured indebtedness have been fully paid, whichever is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equity pledge under the equity interest pledge agreement takes effect upon the completion of registration with the relevant PRC government authority. The registration of the equity interest pledge as required by the relevant laws and regulations has been completed in accordance with PRC laws. </w:t>
      </w:r>
    </w:p>
    <w:p>
      <w:pPr>
        <w:pStyle w:val="TextBody"/>
        <w:bidi w:val="0"/>
        <w:spacing w:before="360" w:after="0"/>
        <w:jc w:val="left"/>
        <w:rPr>
          <w:rFonts w:ascii="Times New Roman" w:hAnsi="Times New Roman"/>
          <w:i/>
          <w:sz w:val="20"/>
        </w:rPr>
      </w:pPr>
      <w:r>
        <w:rPr>
          <w:rFonts w:ascii="Times New Roman" w:hAnsi="Times New Roman"/>
          <w:i/>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power of attorney executed in August 2021, the shareholder of Xintu Technology has irrevocably undertaken to appoint Xiaopeng Technology or its designated persons (including but not limited to directors and their successors and liquidators replacing but excluding those non-independent or who may give rise to conflict of interests) to exercise the following rights relating to all equity interests held by the shareholder of Xintu Technology during the term of the power of attorney: to act on behalf of such shareholder as its exclusive agent and as his attorney-in-fact to exercise such shareholder’s rights in Xintu Technology according to the articles of association of Xintu Technology, including but not limited to, the rights to (i) convene and participate in shareholders’ meeting pursuant to the articles of Xintu Technology in the capacity of a proxy of the shareholder of Xintu Technology; (ii) exercise the voting rights, and adopt resolutions, on matters to be discussed and resolved at shareholders’ meetings and the appointment and election of directors, supervisors and other senior management of Xintu Technology to be appointed by the shareholder, dispose the company assets, amend the articles of Xintu Technology and exercise the rights of the shareholder in the event of liquidation of Xintu Technology; (iii) sign or submit any required document to any company registry or other authorities in the capacity of a proxy of the shareholder; (iv) to exercise rights of the shareholder and any other voting rights of the shareholder under the relevant PRC laws and regulations and the articles of associations of Xintu Technology, as amended; (v) subject to (ii), to sign and execute any related documents including but not limited to share transfer agreement, asset transfer agreement and individual shareholders resolutions when there is a transfer of shareholding in Xintu Technology by the shareholder in accordance with exclusive option agreement, assets transfer, capital reduction or capital increase in Xintu Technology; and (vi) to instruct the directors and senior officers to act in accordance with the instruction of Xiaopeng Technology and its designated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other terms in the power of attorney, the power of attorney shall remain effective for 20 years from August 12, 2021, and can be automatically renewed for one year every sequent year. The power of attorney may be terminated by mutual agreement of the relevant parties in writing or when there is a breach of the power of attorney by Xintu Technology or its shareholder which is not remedied within a reasonable time or 10 days after being requested to remedy the breach. </w:t>
      </w:r>
    </w:p>
    <w:p>
      <w:pPr>
        <w:pStyle w:val="TextBody"/>
        <w:bidi w:val="0"/>
        <w:spacing w:before="360" w:after="0"/>
        <w:jc w:val="left"/>
        <w:rPr>
          <w:rFonts w:ascii="Times New Roman" w:hAnsi="Times New Roman"/>
          <w:i/>
          <w:sz w:val="20"/>
        </w:rPr>
      </w:pPr>
      <w:r>
        <w:rPr>
          <w:rFonts w:ascii="Times New Roman" w:hAnsi="Times New Roman"/>
          <w:i/>
          <w:sz w:val="20"/>
        </w:rPr>
        <w:t xml:space="preserve">Exclusive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exclusive option agreement executed in August 2021, Xintu Technology and its shareholder have irrevocably granted Xiaopeng Technology an irrevocable and exclusive right to purchase, or designate one or more entities or persons to purchase the equity interests in Xintu Technology then held by shareholder, and the assets of Xintu Technology, once or at multiple times at any time in part or in whole at Xiaopeng Technology’s sole and absolute discretion to the extent permitted by PRC law. The purchase price for the equity interests in Xintu Technology shall be equal to the amount of relevant registered capital contributed by the shareholder in Xintu Technology while the purchase price for the assets of Xintu Technology shall be equal to the net book value of such assets, and if such amount in each case is lower than the minimum price permitted by PRC law, the minimum price permitted by PRC law shall be the purchase price. This agreement will remain effective until all equity interests of Xintu Technology held by its shareholder and all of Xintu Technology’s assets have been transferred or assigned to Xiaopeng Technology or its designated entities or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relevant PRC laws and regulations, Xintu Technology’s shareholder has also undertaken that it will return to Xiaopeng Technology any consideration he receives in the event that Xiaopeng Technology exercises the options under the exclusive option agreement to acquire the equity interests in Xintu Technology.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exclusive option agreement, Xintu Technology and its shareholder have respectively undertaken to perform certain acts or refrain from performing certain other acts unless they have obtained prior approval from Xiaopeng Technology, including but not limited to matters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(1)</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 shall not transfer or dispose in any manner the exclusive option or grant any security over or create any third party rights over the exclusive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995" w:type="dxa"/>
        <w:jc w:val="left"/>
        <w:tblInd w:w="0" w:type="dxa"/>
        <w:tblLayout w:type="fixed"/>
        <w:tblCellMar>
          <w:top w:w="0" w:type="dxa"/>
          <w:left w:w="0" w:type="dxa"/>
          <w:bottom w:w="0" w:type="dxa"/>
          <w:right w:w="0" w:type="dxa"/>
        </w:tblCellMar>
      </w:tblPr>
      <w:tblGrid>
        <w:gridCol w:w="75"/>
        <w:gridCol w:w="290"/>
        <w:gridCol w:w="86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increase or reduce its registered capital, or cause it to merge with other entity;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290"/>
        <w:gridCol w:w="85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dispose of any material assets (other than in its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(4)</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terminate any material contract or enter into any contract that will conflict with existing material contracts;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 shall not appoint or remove any director, supervisor or any other officer that should be appointed by them;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290"/>
        <w:gridCol w:w="67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distribute any distributable profit, bonus or dividend;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(7)</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take any action (including inaction) that will affect its continued existence or adopt any action that will lead to the possibility of its cessation of business, liquidation or dissolution;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290"/>
        <w:gridCol w:w="41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amend its articles;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(9)</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Xintu Technology shall not lend or borrow any fund, provide guarantee or any form of security, or undertake any substantial obligations other than in its ordinary business operation.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 with GIIA and its Shareholder </w:t>
      </w:r>
    </w:p>
    <w:p>
      <w:pPr>
        <w:pStyle w:val="TextBody"/>
        <w:bidi w:val="0"/>
        <w:spacing w:before="120" w:after="0"/>
        <w:jc w:val="left"/>
        <w:rPr>
          <w:rFonts w:ascii="Times New Roman" w:hAnsi="Times New Roman"/>
          <w:sz w:val="20"/>
        </w:rPr>
      </w:pPr>
      <w:r>
        <w:rPr>
          <w:rFonts w:ascii="Times New Roman" w:hAnsi="Times New Roman"/>
          <w:sz w:val="20"/>
        </w:rPr>
        <w:t xml:space="preserve">On July 22, 2022, Xiaopeng Motors Sales, Mr. Tao He, our co-founder, his spouse, and Guangzhou Xuetao, of which 50% equity interest is owned by Mr. Tao He and 50% is owned by his spouse, entered into a cooperation agreement. According to the cooperation agreement, Xiaopeng Motors Sales designated Mr. Tao He and his spouse as its representatives to acquire 100% of equity interest in GIIA through Guangzhou Xuetao on the same day. On January 31, 2024, Xiaopeng Motors Sales, Mr. Tao He, his spouse, and Guangzhou Xuetao agreed to terminate the above described cooperation agreement. On the same day, a series of contractual arrangements with GIIA were executed by Xiaopeng Motors Sales, Guangzhou Xuetao and Mr. Yeqing Zheng, the individual shareholder of Guangzhou Xuetao, the key terms of which are summarized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Exclusive Service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exclusive service agreement executed in January 2024, GIIA appointed Xiaopeng Motors Sales as its exclusive services provider to provide GIIA with services related to GIIA’s business during the term of the exclusive service agreement. In consideration for the services provided by Xiaopeng Motors Sales, GIIA shall pay Xiaopeng Motors Sales annual fees, which should be mutually agreed by both parties and can be adjusted according to Xiaopeng Motors Sales’ suggestion to the extent permitted by PRC law. Unless terminated in accordance with the provisions of the exclusive service agreement or terminated in writing by Xiaopeng Motors Sales, the exclusive service agreement shall remain effective for 20 years from January 31, 2024, and can be automatically renewed for one year every sequent year unless otherwise terminated by a written notice served by Xiaopeng Motors Sales. The exclusive service agreement also provides that Xiaopeng Motors Sales has the exclusive proprietary rights in any and all intellectual property rights which are developed by GIIA at the request of Xiaopeng Motors Sales or are developed by the parties jointly. Our directors consider that the above arrangements will ensure the economic benefits generated from the operations of GIIA will flow to Xiaopeng Motors Sales and hence our company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loan agreement executed in January 2024, Xiaopeng Motors Sales should provide Mr. Zheng, the individual shareholder of Guangzhou Xuetao, with a loan in the aggregate amount of RMB31.5 million to acquire 100% of equity interest in GIIA through Guangzhou Xuetao from Mr. Tao He and his spouse. Mr. Zheng has pledged all of his equity interest in Guangzhou Xuetao as a security interest to repay the loan provided by Xiaopeng Motors Sales and guarantee the performance of other obligations under the loan agreement. The loan agreement will remain effective until the earlier of (i) 20 years after the execution date of the loan agreement; (ii) the expiry date of Guangzhou Xuetao’s licensed operating period; and (iii) the expiry date of GIIA’s licensed operating period. During the term of loan agreement, Xiaopeng Motors Sales has the right, at its sole and absolute discretion, to accelerate maturity of loan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Equity Interest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interest pledge agreement executed in January 2024, Mr. Zheng, the individual shareholder of Guangzhou Xuetao, and Guangzhou Xuetao (collectively, the “Pledgors”) have pledged all of his equity interest in GIIA as a security interest, as applicable, to respectively guarantee the performance of obligations of the Pledgors under the relevant contractual arrangement, which include the exclusive service agreement, exclusive option agreement, power of attorney and loan agreement. If the Pledgors breach their contractual obligations under these agreements, Xiaopeng Motors Sales, as pledgee, will be entitled to certain rights regarding the pledged equity interests. In the event of such breaches, upon giving written notice to the Pledgors, Xiaopeng Motors Sales may exercise the right to enforce the pledge to the extent permitted by PRC laws, which is being paid in priority with the equity interest of GIIA from the proceeds from auction or sale of the equity interest. The Pledgors agree that, during the term of the equity interest pledge agreement, it shall not transfer the equity interest, place or permit the existence of any security interest or other encumbrance on the equity interest or any portion thereof, without the prior written consent of Xiaopeng Motors Sales. The Pledgors may receive dividends distributed on the equity interest only with prior consent of Xiaopeng Motors Sales. The equity interest pledge agreement will remain effective until all obligations under the relevant contractual agreements have been fully performed or all secured indebtedness have been fully paid,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The equity pledge under the equity interest pledge agreement takes effect after the Pledgors and Xiaopeng Motors Sales have duly signed such agreement. The registration of the equity interest pledge as required by the relevant laws and regulations is currently in process as of the date hereof and we expect to complete such registration in due course in accordance with PRC laws. </w:t>
      </w:r>
    </w:p>
    <w:p>
      <w:pPr>
        <w:pStyle w:val="TextBody"/>
        <w:bidi w:val="0"/>
        <w:spacing w:before="360" w:after="0"/>
        <w:jc w:val="left"/>
        <w:rPr>
          <w:rFonts w:ascii="Times New Roman" w:hAnsi="Times New Roman"/>
          <w:i/>
          <w:sz w:val="20"/>
        </w:rPr>
      </w:pPr>
      <w:r>
        <w:rPr>
          <w:rFonts w:ascii="Times New Roman" w:hAnsi="Times New Roman"/>
          <w:i/>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power of attorney executed in January 2024, Mr. Zheng and Guangzhou Xuetao (collectively, the “GIIA Shareholder”) have irrevocably undertaken to appoint Xiaopeng Motors Sales or its designated persons (including but not limited directors and their successors and liquidators replacing but excluding those non-independent or who may give rise to conflict of interests) to exercise the following rights relating to all equity interests held by the GIIA Shareholder during the term of the power of attorney: to act on behalf of such shareholder as its exclusive agent and as his attorney-in-fact to exercise such shareholder’s rights in GIIA according to the articles of association of GIIA, including but not limited to, the rights to (i) convene and participate in the shareholder’s meeting of GIIA pursuant to the articles of GIIA in the capacity of a proxy of the GIIA Shareholder; (ii) exercise the voting rights, and adopt resolutions, on matters to be discussed and resolved at shareholder’s meetings and the appointment and election of directors, supervisors and other senior management of GIIA to be appointed by the GIIA Shareholder, dispose the company assets, amend the articles of GIIA and exercise the rights of the GIIA Shareholder in the event of liquidation of GIIA; (iii) sign or submit any required document, which shall include meeting minutes, to any company registry or other authorities in the capacity of a proxy of the GIIA Shareholder; (iv) to exercise rights of the GIIA Shareholder and any other voting rights of the GIIA Shareholder under the relevant PRC laws and regulations and the articles of associations of GIIA, as amended; (v) subject to (ii), to sign and execute any related documents including but not limited to share transfer agreement, asset transfer agreement and individual shareholders resolutions when there is a transfer of shareholding in GIIA by the GIIA Shareholder in accordance with exclusive option agreement, assets transfer, capital reduction or capital increase in GIIA; and (vi) to instruct the directors and senior officers to act in accordance with the instruction of Xiaopeng Motors Sales and its designated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other terms in the power of attorney, the power of attorney shall remain effective for 20 years from January 31, 2024, and can be automatically renewed for one year every sequent year. The power of attorney may be terminated by mutual agreement of the relevant parties in writing or when there is a breach of the power of attorney by the GIIA Shareholder which is not remedied within a reasonable time or 10 days after being requested to remedy the breach. </w:t>
      </w:r>
    </w:p>
    <w:p>
      <w:pPr>
        <w:pStyle w:val="TextBody"/>
        <w:bidi w:val="0"/>
        <w:spacing w:before="360" w:after="0"/>
        <w:jc w:val="left"/>
        <w:rPr>
          <w:rFonts w:ascii="Times New Roman" w:hAnsi="Times New Roman"/>
          <w:i/>
          <w:sz w:val="20"/>
        </w:rPr>
      </w:pPr>
      <w:r>
        <w:rPr>
          <w:rFonts w:ascii="Times New Roman" w:hAnsi="Times New Roman"/>
          <w:i/>
          <w:sz w:val="20"/>
        </w:rPr>
        <w:t xml:space="preserve">Exclusive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exclusive option agreement executed in January 2024, the GIIA Shareholder has irrevocably granted Xiaopeng Motors Sales an irrevocable and exclusive right to purchase, or designate one or more entities or persons to purchase, the equity interests in GIIA then held by the GIIA Shareholder, and the assets of GIIA, once or at multiple times at any time in part or in whole at Xiaopeng Motors Sales’ sole and absolute discretion to the extent permitted by PRC law. The purchase price for the equity interests in GIIA shall be equal to the amount of relevant registered capital contributed by the GIIA Shareholder while the purchase price for the assets of GIIA shall be equal to the net book value of such assets, and if such amount in each case is lower than the minimum price permitted by PRC law, the minimum price permitted by PRC law shall be the purchase price. This agreement will remain effective until all equity interests of GIIA held by the GIIA Shareholder and all of GIIA’s assets have been transferred or assigned to Xiaopeng Motors Sales or its designated entities or persons.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relevant PRC laws and regulations, the GIIA Shareholder has also undertaken that it will return to Xiaopeng Motors Sales any consideration it receives in the event that Xiaopeng Motors Sales exercises the options under the exclusive option agreement to acquire the equity interests in GIIA. </w:t>
      </w:r>
    </w:p>
    <w:p>
      <w:pPr>
        <w:pStyle w:val="TextBody"/>
        <w:bidi w:val="0"/>
        <w:spacing w:before="240" w:after="0"/>
        <w:jc w:val="left"/>
        <w:rPr>
          <w:rFonts w:ascii="Times New Roman" w:hAnsi="Times New Roman"/>
          <w:sz w:val="20"/>
        </w:rPr>
      </w:pPr>
      <w:r>
        <w:rPr>
          <w:rFonts w:ascii="Times New Roman" w:hAnsi="Times New Roman"/>
          <w:sz w:val="20"/>
        </w:rPr>
        <w:t xml:space="preserve">Further, pursuant to the exclusive option agreement, the GIIA Shareholder has irrevocably undertaken to perform certain acts or refrain from performing certain other acts unless they have obtained prior written approval from Xiaopeng Motors Sales, including but not limited to matters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(1)</w:t>
            </w:r>
          </w:p>
        </w:tc>
        <w:tc>
          <w:tcPr>
            <w:tcW w:w="98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transfer or dispose in any manner the exclusive option or grant any security over or create any third party rights over the exclusive option;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290"/>
        <w:gridCol w:w="95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increase or reduce GIIA’s registered capital, or cause it to merge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(3)</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dispose or cause GIIA to dispose of any material assets (other than in its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(4)</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terminate or cause GIIA to terminate any material contract or enter into any contract that will conflict with existing material contracts;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(5)</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appoint or remove any director, supervisor or any other officer that should be appointed by them;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290"/>
        <w:gridCol w:w="81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cause GIIA to distribute any distributable profit, bonus or dividend;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(7)</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take any action (including inaction) that will affect GIIA’s continued existence or adopt any action that will lead to the possibility of its cessation of business, liquidation or dissolution;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290"/>
        <w:gridCol w:w="44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(8)</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amend its articles;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(9)</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GIIA Shareholder shall not lend or borrow any fund, provide guarantee or any form of security, or undertake any substantial obligations other than in its ordinary business operation.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of Equity Interest in Zhaoqing Xiaopeng New Energy </w:t>
      </w:r>
    </w:p>
    <w:p>
      <w:pPr>
        <w:pStyle w:val="TextBody"/>
        <w:bidi w:val="0"/>
        <w:spacing w:before="120" w:after="0"/>
        <w:jc w:val="left"/>
        <w:rPr>
          <w:rFonts w:ascii="Times New Roman" w:hAnsi="Times New Roman"/>
          <w:sz w:val="20"/>
        </w:rPr>
      </w:pPr>
      <w:r>
        <w:rPr>
          <w:rFonts w:ascii="Times New Roman" w:hAnsi="Times New Roman"/>
          <w:sz w:val="20"/>
        </w:rPr>
        <w:t xml:space="preserve">Prior to January 2022, each of (i) Zhaoqing Xiaopeng Motors Co., Ltd., or Zhaoqing Xiaopeng, which is a wholly-owned subsidiary of the Company, and (ii) Zhaoqing Kunpeng Motor Technology Co., Ltd., or Zhaoqing Kunpeng, which is jointly owned by Mr. Heng Xia and Mr. Tao He, held 50% of the equity interest of Zhaoqing Xiaopeng New Energy. Pursuant to a share transfer agreement between Zhaoqing Xiaopeng and Zhaoqing Kunpeng, dated February 13, 2020, Zhaoqing Kunpeng shall transfer the 50% of the equity interest of Zhaoqing Xiaopeng New Energy to Zhaoqing Xiaopeng at the price of the higher of (i) RMB1 or (ii) the capital injection actually paid by Zhaoqing Kunpeng upon the earlier of (i) the removal of the PRC foreign investment restrictions in whole-unit vehicle industry; and (ii) December 31, 2022. In January 2022, Zhaoqing Kunpeng transferred all of its equity interest in Zhaoqing Xiaopeng New Energy to Zhaoqing Xiaopeng. As a result, Zhaoqing Xiaopeng New Energy has become our wholly-owned subsidiary. Zhaoqing Xiaopeng New Energy holds an Enterprise Investment Project Filing Certificate of Guangdong Province for the Zhaoqing plant and has been listed in the Announcement of the Vehicle Manufacturers and Products issued by the MIIT, which enables it to be a qualified manufacturer of EVs. </w:t>
      </w:r>
    </w:p>
    <w:p>
      <w:pPr>
        <w:pStyle w:val="TextBody"/>
        <w:bidi w:val="0"/>
        <w:spacing w:before="360" w:after="0"/>
        <w:jc w:val="left"/>
        <w:rPr>
          <w:rFonts w:ascii="Times New Roman" w:hAnsi="Times New Roman"/>
          <w:b/>
          <w:sz w:val="20"/>
        </w:rPr>
      </w:pPr>
      <w:r>
        <w:rPr>
          <w:rFonts w:ascii="Times New Roman" w:hAnsi="Times New Roman"/>
          <w:b/>
          <w:sz w:val="20"/>
        </w:rPr>
        <w:t xml:space="preserve">Yuecai Investment in Chengxing Zhidong </w:t>
      </w:r>
    </w:p>
    <w:p>
      <w:pPr>
        <w:pStyle w:val="TextBody"/>
        <w:bidi w:val="0"/>
        <w:spacing w:before="120" w:after="0"/>
        <w:jc w:val="left"/>
        <w:rPr>
          <w:rFonts w:ascii="Times New Roman" w:hAnsi="Times New Roman"/>
          <w:sz w:val="20"/>
        </w:rPr>
      </w:pPr>
      <w:r>
        <w:rPr>
          <w:rFonts w:ascii="Times New Roman" w:hAnsi="Times New Roman"/>
          <w:sz w:val="20"/>
        </w:rPr>
        <w:t xml:space="preserve">On March 12, 2021, a capital increase agreement was entered into among Chengxing Zhidong, Xiaopeng Motors, Guangdong Xiaopeng Automotive Industry Holding Co., Ltd. and Guangdong Yuecai Industrial Investment Fund Partnership Enterprise (Limited Partnership), or Yuecai. Pursuant to the capital increase agreement, Yuecai subscribed for 0.3% equity interest in Chengxing Zhidong for an aggregate consideration of RMB500 million. If an affiliated entity of Chengxing Zhidong, including but not limited to XPeng Inc. or Xiaopeng Motors, completes a public listing within three years from the settlement of the capital increase, the parties may agree to exchange all or a portion of Yuecai’s equity interest in Chengxing Zhidong for shares in the publicly listed entity based on the public offering price. If such public listing does not take place within three years from the settlement of the capital increase, Chengxing Zhidong may repurchase Yuecai’s equity interest for RMB500 million and an interest based on an agreed annualized rate of 6%. </w:t>
      </w:r>
    </w:p>
    <w:p>
      <w:pPr>
        <w:pStyle w:val="TextBody"/>
        <w:bidi w:val="0"/>
        <w:spacing w:before="240" w:after="0"/>
        <w:jc w:val="left"/>
        <w:rPr>
          <w:rFonts w:ascii="Times New Roman" w:hAnsi="Times New Roman"/>
          <w:sz w:val="20"/>
        </w:rPr>
      </w:pPr>
      <w:r>
        <w:rPr>
          <w:rFonts w:ascii="Times New Roman" w:hAnsi="Times New Roman"/>
          <w:sz w:val="20"/>
        </w:rPr>
        <w:t xml:space="preserve">On June 11, 2021, Yuecai notified Chengxing Zhidong that it irrevocably undertakes not to exercise the rights under the capital increase agreement to request Xiaopeng Motors to purchase the shares of Chengxing Zhidong held by it in connection with our listing on the Hong Kong Stock Exchange. Accordingly, Yuecai continued to be a shareholder of Chengxing Zhidong in respect of its entire investment in Chengxing Zhidong following our listing on the Hong Kong Stock Exchange. On March 18, 2024, we made payment to repurchase Yuecai’s equity interest in Chengxing Zhidong and as of the date of this annual report, Yuecai is no longer a shareholder of Chengxing Zhidong. </w:t>
      </w:r>
    </w:p>
    <w:p>
      <w:pPr>
        <w:pStyle w:val="TextBody"/>
        <w:bidi w:val="0"/>
        <w:spacing w:before="360" w:after="0"/>
        <w:jc w:val="left"/>
        <w:rPr>
          <w:rFonts w:ascii="Times New Roman" w:hAnsi="Times New Roman"/>
          <w:b/>
          <w:sz w:val="20"/>
        </w:rPr>
      </w:pPr>
      <w:r>
        <w:rPr>
          <w:rFonts w:ascii="Times New Roman" w:hAnsi="Times New Roman"/>
          <w:b/>
          <w:sz w:val="20"/>
        </w:rPr>
        <w:t xml:space="preserve">D. Property, plants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“B. Business Overview—Facilities” for a discussion of our property, plants and equipment.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085"/>
        <w:gridCol w:w="3275"/>
      </w:tblGrid>
      <w:tr>
        <w:trPr/>
        <w:tc>
          <w:tcPr>
            <w:tcW w:w="1085" w:type="dxa"/>
            <w:tcBorders/>
            <w:vAlign w:val="center"/>
          </w:tcPr>
          <w:p>
            <w:pPr>
              <w:pStyle w:val="TableContents"/>
              <w:bidi w:val="0"/>
              <w:spacing w:before="0" w:after="283"/>
              <w:jc w:val="left"/>
              <w:rPr>
                <w:b/>
              </w:rPr>
            </w:pPr>
            <w:bookmarkStart w:id="8" w:name="rom36361_6"/>
            <w:bookmarkEnd w:id="8"/>
            <w:r>
              <w:rPr>
                <w:b/>
              </w:rPr>
              <w:t>ITEM 4A.</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905"/>
        <w:gridCol w:w="5315"/>
      </w:tblGrid>
      <w:tr>
        <w:trPr/>
        <w:tc>
          <w:tcPr>
            <w:tcW w:w="905" w:type="dxa"/>
            <w:tcBorders/>
            <w:vAlign w:val="center"/>
          </w:tcPr>
          <w:p>
            <w:pPr>
              <w:pStyle w:val="TableContents"/>
              <w:bidi w:val="0"/>
              <w:spacing w:before="0" w:after="283"/>
              <w:jc w:val="left"/>
              <w:rPr>
                <w:b/>
              </w:rPr>
            </w:pPr>
            <w:bookmarkStart w:id="9" w:name="rom36361_7"/>
            <w:bookmarkEnd w:id="9"/>
            <w:r>
              <w:rPr>
                <w:b/>
              </w:rPr>
              <w:t>ITEM 5.</w:t>
            </w:r>
          </w:p>
        </w:tc>
        <w:tc>
          <w:tcPr>
            <w:tcW w:w="5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AND FINANCIAL REVIEW AND PROSPECTS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and analysis of the Group’s financial condition and results of operations in conjunction with the Group’s consolidated financial statements and the related notes included elsewhere in this annual report. This discussion may contain forward-looking statements based upon current expectations that involve risks and uncertainties. The Group’s actual results may differ materially from those anticipated in these forward-looking statements as a result of various factors, including those set forth under “Item 3. Key Information—D. Risk Factors” or in other parts of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 Operating Results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Chinese Smart EV and NEV company that designs, develops, manufactures and markets Smart EVs and NEVs that primarily appeal to the large and growing base of middle-class consumers in China. We are also expanding our international presence, with a focus on the mid- to high-end segment in the global passenger vehicle market. Since inception, we have taken an innovative technology path to our envisioned future of mobility. We intend to empower consumers with our differentiated Smart EVs and NEVs that can offer disruptive mobility experiences. We believe this can be achieved by fast iteration of software and seamless integration with hardware, which enable us to lead the innovation of Smart EV and NEV technologies and provide differentiated Smart EV and NEV products to consumers.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in 2015, we have become one of the leading Smart EV and NEV companies in China, with leading software and hardware technology at our core and bringing innovation in advanced driver assistance, smart connectivity and core vehicle systems. We develop full-stack advanced driver assistance systems, or ADAS, software in house and have deployed such software on mass-produced vehicles. We started to roll out our XNGP in March 2023 and have made XNGP available in cities without HD map coverage since November 2023. As a result, its geographical coverage has expanded swiftly in China. </w:t>
      </w:r>
    </w:p>
    <w:p>
      <w:pPr>
        <w:pStyle w:val="TextBody"/>
        <w:bidi w:val="0"/>
        <w:spacing w:before="240" w:after="0"/>
        <w:jc w:val="left"/>
        <w:rPr>
          <w:rFonts w:ascii="Times New Roman" w:hAnsi="Times New Roman"/>
          <w:sz w:val="20"/>
        </w:rPr>
      </w:pPr>
      <w:r>
        <w:rPr>
          <w:rFonts w:ascii="Times New Roman" w:hAnsi="Times New Roman"/>
          <w:sz w:val="20"/>
        </w:rPr>
        <w:t xml:space="preserve">Our Smart EVs and NEVs are designed to appeal to the large growing base of middle-class consumers globally. We primarily target the mid- to high-end segment in the global passenger vehicle market. Consumers choose our products primarily because of attractive design, industry-leading electrification and smart technologies, interactive smart mobility experience and long driving range. </w:t>
      </w:r>
    </w:p>
    <w:p>
      <w:pPr>
        <w:pStyle w:val="TextBody"/>
        <w:bidi w:val="0"/>
        <w:spacing w:before="240" w:after="0"/>
        <w:jc w:val="left"/>
        <w:rPr>
          <w:rFonts w:ascii="Times New Roman" w:hAnsi="Times New Roman"/>
          <w:sz w:val="20"/>
        </w:rPr>
      </w:pPr>
      <w:r>
        <w:rPr>
          <w:rFonts w:ascii="Times New Roman" w:hAnsi="Times New Roman"/>
          <w:sz w:val="20"/>
        </w:rPr>
        <w:t xml:space="preserve">Since December 2018, we have launched and continuously upgraded a series of strategically positioned vehicle models. We are building a rapidly expanding, diversified portfolio of attractive Smart EV and NEV models to capture the growing demand for Smart EVs and NEVs and appeal to the differentiated needs of a broad customer base.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upgraded the G6 and the G9 to their respective 2025 Edition and started delivery during the same month.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2025, we upgraded the X9 to its latest 2025 Edition.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July 2025, we launched the G7 and started delivery during the same month.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August 2025, we launched the Next P7 and started delivery during the same month.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launched the X9 EREV and started delivery during the same month.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upgraded the P7+, the G6 and the G9 to their respective 2026 versions, and launched the EREV versions of the G7 and the P7+.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2026, we launched the EREV version of the G6 and started delivery during the same month.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April 2026, we upgraded the MONA M03 to its latest 2026 Edition and started the presale of GX.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offer the following models: </w:t>
      </w:r>
    </w:p>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Sedan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MONA M03 (BEV) with a wheelbase of 2,815 mm and CLTC range between 510 km and 640 km.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Next P7 (BEV) with a wheelbase of 3,008 mm and CLTC range between 702 km and 820 km.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P7+ (BEV / EREV) with a wheelbase of 3,000 mm and CLTC total range between 615 km and 725 km for BEV version and reaches 1,550 km for EREV version. </w:t>
            </w:r>
          </w:p>
        </w:tc>
      </w:tr>
    </w:tbl>
    <w:p>
      <w:pPr>
        <w:pStyle w:val="TextBody"/>
        <w:bidi w:val="0"/>
        <w:spacing w:before="0" w:after="0"/>
        <w:jc w:val="left"/>
        <w:rPr/>
      </w:pPr>
      <w:r>
        <w:rPr/>
        <w:t> </w:t>
      </w:r>
    </w:p>
    <w:tbl>
      <w:tblPr>
        <w:tblW w:w="700" w:type="dxa"/>
        <w:jc w:val="left"/>
        <w:tblInd w:w="0" w:type="dxa"/>
        <w:tblLayout w:type="fixed"/>
        <w:tblCellMar>
          <w:top w:w="0" w:type="dxa"/>
          <w:left w:w="0" w:type="dxa"/>
          <w:bottom w:w="0" w:type="dxa"/>
          <w:right w:w="0" w:type="dxa"/>
        </w:tblCellMar>
      </w:tblPr>
      <w:tblGrid>
        <w:gridCol w:w="75"/>
        <w:gridCol w:w="110"/>
        <w:gridCol w:w="60"/>
        <w:gridCol w:w="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G6 (BEV / EREV) with a wheelbase of 2,890 mm and CLTC total range of 625 km for BEV version and reaches 1,704 km for EREV version.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G7 (BEV / EREV) with a wheelbase of 2,890 mm and CLTC total range between 602 km and 702 km for BEV version and reaches 1,704 km for EREV version.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G9 (BEV) with a wheelbase of 2,998 mm and CLTC range between 625 km and 725 km. </w:t>
            </w:r>
          </w:p>
        </w:tc>
      </w:tr>
    </w:tbl>
    <w:p>
      <w:pPr>
        <w:pStyle w:val="TextBody"/>
        <w:bidi w:val="0"/>
        <w:spacing w:before="0" w:after="0"/>
        <w:jc w:val="left"/>
        <w:rPr/>
      </w:pPr>
      <w:r>
        <w:rPr/>
        <w:t> </w:t>
      </w:r>
    </w:p>
    <w:tbl>
      <w:tblPr>
        <w:tblW w:w="745" w:type="dxa"/>
        <w:jc w:val="left"/>
        <w:tblInd w:w="0" w:type="dxa"/>
        <w:tblLayout w:type="fixed"/>
        <w:tblCellMar>
          <w:top w:w="0" w:type="dxa"/>
          <w:left w:w="0" w:type="dxa"/>
          <w:bottom w:w="0" w:type="dxa"/>
          <w:right w:w="0" w:type="dxa"/>
        </w:tblCellMar>
      </w:tblPr>
      <w:tblGrid>
        <w:gridCol w:w="75"/>
        <w:gridCol w:w="110"/>
        <w:gridCol w:w="60"/>
        <w:gridCol w:w="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MPV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X9 (BEV / EREV) with a wheelbase of 3,160 mm and CLTC total range between 650 km and 750 km for BEV version and reaches 1,602 km for EREV version.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ADAS and in-car intelligent operating system enable customers to enjoy a differentiated smart mobility experience, and our Smart EVs and NEVs can be upgraded through OTA firmware updates to introduce enhancements and new functionalities. Continuous innovation in software is one of the key factors that differentiate our Smart EVs and NEVs and has become a critical value proposition appealing to customers. </w:t>
      </w:r>
    </w:p>
    <w:p>
      <w:pPr>
        <w:pStyle w:val="TextBody"/>
        <w:bidi w:val="0"/>
        <w:spacing w:before="240" w:after="0"/>
        <w:jc w:val="left"/>
        <w:rPr>
          <w:rFonts w:ascii="Times New Roman" w:hAnsi="Times New Roman"/>
          <w:sz w:val="20"/>
        </w:rPr>
      </w:pPr>
      <w:r>
        <w:rPr>
          <w:rFonts w:ascii="Times New Roman" w:hAnsi="Times New Roman"/>
          <w:sz w:val="20"/>
        </w:rPr>
        <w:t xml:space="preserve">We seek to expand our customer reach by extending our online and physical sales and service network. We had a total of 721 stores, covering 255 cities in China as of December 31, 2025. These stores in our sales network include both stores directly operated by us and franchised stores. In addition, we actively engage in online marketing through various channels to further enhance our brand recognition and customer acquisition. </w:t>
      </w:r>
    </w:p>
    <w:p>
      <w:pPr>
        <w:pStyle w:val="TextBody"/>
        <w:bidi w:val="0"/>
        <w:spacing w:before="240" w:after="0"/>
        <w:jc w:val="left"/>
        <w:rPr>
          <w:rFonts w:ascii="Times New Roman" w:hAnsi="Times New Roman"/>
          <w:sz w:val="20"/>
        </w:rPr>
      </w:pPr>
      <w:r>
        <w:rPr>
          <w:rFonts w:ascii="Times New Roman" w:hAnsi="Times New Roman"/>
          <w:sz w:val="20"/>
        </w:rPr>
        <w:t xml:space="preserve">We aim to offer our customers a convenient charging and driving experience by providing them with access to a vast, rapidly-growing charging network. Our customers can choose to charge their Smart EVs and NEVs using home chargers, at XPENG self-operated charging station network or at third-party charging stations. In addition, we started to launch the 480kW S4 supercharging stations in China in 2022. As of December 31, 2025, XPENG self-operated charging station network further expanded to 3,159 stations, including 2,654 XPENG self-operated supercharging stations and 505 destination charging stations. Our S4 and S5 supercharging stations have covered 222 cities in China, including all of the tier-1 and the new tier-1 cities.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philosophy centers on quality, continuous improvement, flexibility and high operating efficiency. We mainly manufacture our vehicles at our own plants in Zhaoqing and Guangzhou, Guangdong province. In addition, as of March 31, 2026, the construction of our new manufacturing base in Wuhan has been completed, which had obtained the property ownership certificate upon completion of the inspection and acceptance procedures conducted by relevant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Our total revenue grew rapidly from RMB30,676.1 million in 2023 to RMB40,866.3 million in 2024, and further to RMB76,719.7 million in 2025. The deliveries of our Smart EV and NEV increased from 141,601 units in 2023 to 190,068 units in 2024, and further to 429,445 units in 2025, representing a significant year-on-year growth rate of 125.9% between 2024 and 2025. Along with strong revenue growth, our gross profit margin increased from 1.5% in 2023 to 14.3% in 2024, and further to 18.9%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left"/>
        <w:rPr>
          <w:rFonts w:ascii="Times New Roman" w:hAnsi="Times New Roman"/>
          <w:sz w:val="20"/>
        </w:rPr>
      </w:pPr>
      <w:r>
        <w:rPr>
          <w:rFonts w:ascii="Times New Roman" w:hAnsi="Times New Roman"/>
          <w:sz w:val="20"/>
        </w:rPr>
        <w:t xml:space="preserve">We offer an innovative mobility experience through our Smart EVs and NEVs, software and services. Vehicle sales is the primary source of our revenues. As of December 31, 2025, we offered seven models, and we plan to continuously introduce new models and facelifts to expand our product portfolio and customer base.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Factors Affecting the Group’s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demand for our Smart EVs and NEVs is affected by the following general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China’s macroeconomic conditions and the growth of China’s overall passenger vehicle market, especially the mid- to high-end segment;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Penetration rate of EVs in China’s passenger vehicle market, which is in turn affected by, among other things, (i) functionality and performance of EVs, (ii) total cost of ownership of EVs and (iii) availability of charging network;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customer acceptance and demand, of smart technology functions, such as ADAS and smart connectivity;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 policies and regulations for EVs and smart technology functions, such as subsidies for EV purchases and government grants for EV manufacturers.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Seasonal fluctuations of the customers’ demand for our Smart EVs and NEVs.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any of these general industry conditions could affect the Group’s business and result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Specific Factors Affecting the Group’s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Besides the general factors affecting China’s Smart EV and NEV market, the Group’s business and results of operations are also affected by company specific factors, including the following major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attract new customers and grow our customer base </w:t>
      </w:r>
    </w:p>
    <w:p>
      <w:pPr>
        <w:pStyle w:val="TextBody"/>
        <w:bidi w:val="0"/>
        <w:spacing w:before="120" w:after="0"/>
        <w:jc w:val="left"/>
        <w:rPr>
          <w:rFonts w:ascii="Times New Roman" w:hAnsi="Times New Roman"/>
          <w:sz w:val="20"/>
        </w:rPr>
      </w:pPr>
      <w:r>
        <w:rPr>
          <w:rFonts w:ascii="Times New Roman" w:hAnsi="Times New Roman"/>
          <w:sz w:val="20"/>
        </w:rPr>
        <w:t xml:space="preserve">We design our Smart EVs and NEVs to satisfy the needs and preferences of China’s middle-class consumers. We strive to enhance brand recognition among our target customers by consistently delivering smart and upgradable EVs as well as a superior customer experience. Enhanced customer satisfaction will help to drive word-of-mouth referrals, which will reduce our customer acquisition costs. Our ability to attract new customers also depends on the scale and efficiency of our sales network, which includes direct stores, franchised stores and various online marketing channels. We seek to attract new customers cost-efficiently by, among other things, locating many of our stores in shopping malls, adopting an asset-light franchise model and engaging in online precision marketing. While currently we primarily sell products and services in China’s market, we also made positive progress in overseas markets since we delivered the first batch of G3 to Norway in December 2020. Our footprint currently extends across multiple continents, including multiple countries or regions in Europe, Asia and other continents. As we continue to develop and launch new EV models, invest in our brand and expand our sales and service network, we expect to attract more customers and grow our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Competitiveness and continued expansion of our Smart EV and NEV portfolio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periodically introduce new Smart EV and NEV models will be an important contributor to our future growth. As of December 31, 2025, we offered seven models. We plan to continuously introduce new models and facelifts to expand our product portfolio and customer base. We expect our revenue growth to be driven in part by the continued expansion of our vehicle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differentiate our Smart EVs and NEVs based on a number of core attributes, which are attractive design, high performance, smart technology functions and proven safety and reliability. Customer acceptance of our Smart EVs and NEVs also depends on our ability to maintain competitive pricing. We primarily target our Smart EVs and NEVs to the mid- to high-end segment in the global passenger vehicle market. With ADAS, smart connectivity and high performance, our Smart EVs and NEVs offer compelling value proposition in the mid- to high-end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in technology and talents </w:t>
      </w:r>
    </w:p>
    <w:p>
      <w:pPr>
        <w:pStyle w:val="TextBody"/>
        <w:bidi w:val="0"/>
        <w:spacing w:before="120" w:after="0"/>
        <w:jc w:val="left"/>
        <w:rPr>
          <w:rFonts w:ascii="Times New Roman" w:hAnsi="Times New Roman"/>
          <w:sz w:val="20"/>
        </w:rPr>
      </w:pPr>
      <w:r>
        <w:rPr>
          <w:rFonts w:ascii="Times New Roman" w:hAnsi="Times New Roman"/>
          <w:sz w:val="20"/>
        </w:rPr>
        <w:t xml:space="preserve">We develop most of our key technologies in-house to achieve a rapid pace of innovation and tailor our product offerings for Chinese customers. Such technologies encompass both software, including software for our XNGP and XOS Tianji, and core vehicle systems, including powertrain and E/E architecture. Accordingly, we dedicate significant resources towards research and development, and our research and development staff accounted for approximately 44.5% of our total employees as of December 31, 2025. In August 2023, we acquired 100% ownership interest of DiDi’s smart auto development business to develop, design and engineer a new smart EV model. In September 2023, we entered into share purchase agreements to acquire shares of Dogotix, which has been dedicated to research and development of robots with human-robot interaction functions since its incorporation. We will continue to recruit and retain talented software developers and engineers to grow our strength in the key technologies. We expect our strategic focus on innovations will further differentiate our Smart EVs and NEVs as well as software and service offerings, which will in turn enhance our competitiveness.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Improvement of operating efficiency </w:t>
      </w:r>
    </w:p>
    <w:p>
      <w:pPr>
        <w:pStyle w:val="TextBody"/>
        <w:bidi w:val="0"/>
        <w:spacing w:before="120" w:after="0"/>
        <w:jc w:val="left"/>
        <w:rPr>
          <w:rFonts w:ascii="Times New Roman" w:hAnsi="Times New Roman"/>
          <w:sz w:val="20"/>
        </w:rPr>
      </w:pPr>
      <w:r>
        <w:rPr>
          <w:rFonts w:ascii="Times New Roman" w:hAnsi="Times New Roman"/>
          <w:sz w:val="20"/>
        </w:rPr>
        <w:t xml:space="preserve">We aim to improve operating efficiency in every aspect of our business, such as product development, supply chain, manufacturing, sales and marketing, as well as service offerings. We strategically established multiple Smart EV and NEV platforms that are scalable for different types of our vehicles with different wheelbases within a wide range, which allows us to develop new models in a fast and cost-efficient manner. Our supply chain affects our cost of sales and gross margin, and we expect to reduce bill-of-material cost, as we ramp up production volume and achieve economies of scale. We also focus on the efficiency in the manufacturing process, including our operations at our Zhaoqing plant and Guangzhou plant. As we expand our product portfolio and grow our revenues, we expect our expenses as a percentage of our revenues to decrease.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breakdown of the Group’s revenues, each expressed in the absolute amount and as a percentage of its total revenues, for the periods indicated: </w:t>
      </w:r>
    </w:p>
    <w:p>
      <w:pPr>
        <w:pStyle w:val="TextBody"/>
        <w:bidi w:val="0"/>
        <w:spacing w:before="0" w:after="0"/>
        <w:jc w:val="left"/>
        <w:rPr/>
      </w:pPr>
      <w:r>
        <w:rPr/>
        <w:t> </w:t>
      </w:r>
    </w:p>
    <w:tbl>
      <w:tblPr>
        <w:tblW w:w="8030" w:type="dxa"/>
        <w:jc w:val="left"/>
        <w:tblInd w:w="0" w:type="dxa"/>
        <w:tblLayout w:type="fixed"/>
        <w:tblCellMar>
          <w:top w:w="0" w:type="dxa"/>
          <w:left w:w="0" w:type="dxa"/>
          <w:bottom w:w="0" w:type="dxa"/>
          <w:right w:w="0" w:type="dxa"/>
        </w:tblCellMar>
      </w:tblPr>
      <w:tblGrid>
        <w:gridCol w:w="1595"/>
        <w:gridCol w:w="120"/>
        <w:gridCol w:w="60"/>
        <w:gridCol w:w="1100"/>
        <w:gridCol w:w="60"/>
        <w:gridCol w:w="120"/>
        <w:gridCol w:w="60"/>
        <w:gridCol w:w="560"/>
        <w:gridCol w:w="60"/>
        <w:gridCol w:w="120"/>
        <w:gridCol w:w="60"/>
        <w:gridCol w:w="1100"/>
        <w:gridCol w:w="60"/>
        <w:gridCol w:w="120"/>
        <w:gridCol w:w="60"/>
        <w:gridCol w:w="560"/>
        <w:gridCol w:w="60"/>
        <w:gridCol w:w="120"/>
        <w:gridCol w:w="60"/>
        <w:gridCol w:w="1100"/>
        <w:gridCol w:w="60"/>
        <w:gridCol w:w="120"/>
        <w:gridCol w:w="60"/>
        <w:gridCol w:w="56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4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40" w:type="dxa"/>
            <w:gridSpan w:val="22"/>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28,010,857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35,829,402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68,378,920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89.1</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2,665,210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5,036,907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8,340,822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10.9</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30,676,067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40,866,309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76,719,742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generates revenues from (i) vehicle sales, which represent sales of its Smart EVs and NEVs, and (ii) services and others, primarily including technical research and development services, services embedded in a sales contract, after-sales service, supercharging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overall contract price under a sales contract is allocated to each distinct performance obligation based on the relative estimated standalone selling price. For example, the revenue for sales of the Smart EV and NEV and home chargers is recognized when the control of the Smart EV and NEV is transferred to the customer and the home charger is installed at customer’s designated location.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sales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breakdown of the Group’s cost of sales, expressed as an absolute amount and as a percentage of its total revenues, for the periods indicated: </w:t>
      </w:r>
    </w:p>
    <w:p>
      <w:pPr>
        <w:pStyle w:val="TextBody"/>
        <w:bidi w:val="0"/>
        <w:spacing w:before="0" w:after="0"/>
        <w:jc w:val="left"/>
        <w:rPr/>
      </w:pPr>
      <w:r>
        <w:rPr/>
        <w:t> </w:t>
      </w:r>
    </w:p>
    <w:tbl>
      <w:tblPr>
        <w:tblW w:w="7670" w:type="dxa"/>
        <w:jc w:val="left"/>
        <w:tblInd w:w="0" w:type="dxa"/>
        <w:tblLayout w:type="fixed"/>
        <w:tblCellMar>
          <w:top w:w="0" w:type="dxa"/>
          <w:left w:w="0" w:type="dxa"/>
          <w:bottom w:w="0" w:type="dxa"/>
          <w:right w:w="0" w:type="dxa"/>
        </w:tblCellMar>
      </w:tblPr>
      <w:tblGrid>
        <w:gridCol w:w="1595"/>
        <w:gridCol w:w="120"/>
        <w:gridCol w:w="60"/>
        <w:gridCol w:w="1100"/>
        <w:gridCol w:w="60"/>
        <w:gridCol w:w="120"/>
        <w:gridCol w:w="60"/>
        <w:gridCol w:w="440"/>
        <w:gridCol w:w="60"/>
        <w:gridCol w:w="120"/>
        <w:gridCol w:w="60"/>
        <w:gridCol w:w="1100"/>
        <w:gridCol w:w="60"/>
        <w:gridCol w:w="120"/>
        <w:gridCol w:w="60"/>
        <w:gridCol w:w="440"/>
        <w:gridCol w:w="60"/>
        <w:gridCol w:w="120"/>
        <w:gridCol w:w="60"/>
        <w:gridCol w:w="1100"/>
        <w:gridCol w:w="60"/>
        <w:gridCol w:w="120"/>
        <w:gridCol w:w="60"/>
        <w:gridCol w:w="44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8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80" w:type="dxa"/>
            <w:gridSpan w:val="22"/>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of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28,457,909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32,866,163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80.4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59,598,391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77.7</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1,767,003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2,154,378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2,648,432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3.4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30,224,912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b/>
              </w:rPr>
            </w:pPr>
            <w:r>
              <w:rPr>
                <w:b/>
              </w:rPr>
              <w:t>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35,020,541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b/>
              </w:rPr>
            </w:pPr>
            <w:r>
              <w:rPr>
                <w:b/>
              </w:rPr>
              <w:t>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62,246,823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b/>
              </w:rPr>
            </w:pPr>
            <w:r>
              <w:rPr>
                <w:b/>
              </w:rPr>
              <w:t>81.1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Cost of vehicle sales primarily includes direct parts, materials, labor cost and manufacturing overheads (including depreciation and amortization of assets associated with production) and reserves for estimated warranty expenses. Cost of services and others primarily includes cost of direct parts, materials, depreciation of associated assets used for providing the services, labor costs and installment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Group’s research and development expenses primarily consist of (i) employee compensation, representing salaries, benefits, share-based compensation and bonuses for its research and development personnel, (ii) design and development expenses, which primarily include fees payable to third-party suppliers for designing molds, (iii) materials and supplies expenses in relation to testing materials, and (iv) certain other expenses. All expenses associated with research and development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Group’s research and development expenses are mainly driven by the number of its research and development personnel, as well as the stage and scale of its vehicle development and the development of its key software and hardware technologies. The Group dedicates significant resources towards research and development, and its research and development staff accounted for approximately 44.5% of its total employees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breakdown of the Group’s selling, general and administrative expenses, expressed as an absolute amount and as a percentage of total selling, general and administrative expenses, for the periods indicated: </w:t>
      </w:r>
    </w:p>
    <w:p>
      <w:pPr>
        <w:pStyle w:val="TextBody"/>
        <w:bidi w:val="0"/>
        <w:spacing w:before="0" w:after="0"/>
        <w:jc w:val="left"/>
        <w:rPr/>
      </w:pPr>
      <w:r>
        <w:rPr/>
        <w:t> </w:t>
      </w:r>
    </w:p>
    <w:tbl>
      <w:tblPr>
        <w:tblW w:w="9860" w:type="dxa"/>
        <w:jc w:val="left"/>
        <w:tblInd w:w="0" w:type="dxa"/>
        <w:tblLayout w:type="fixed"/>
        <w:tblCellMar>
          <w:top w:w="0" w:type="dxa"/>
          <w:left w:w="0" w:type="dxa"/>
          <w:bottom w:w="0" w:type="dxa"/>
          <w:right w:w="0" w:type="dxa"/>
        </w:tblCellMar>
      </w:tblPr>
      <w:tblGrid>
        <w:gridCol w:w="3785"/>
        <w:gridCol w:w="120"/>
        <w:gridCol w:w="60"/>
        <w:gridCol w:w="980"/>
        <w:gridCol w:w="60"/>
        <w:gridCol w:w="120"/>
        <w:gridCol w:w="60"/>
        <w:gridCol w:w="560"/>
        <w:gridCol w:w="60"/>
        <w:gridCol w:w="120"/>
        <w:gridCol w:w="60"/>
        <w:gridCol w:w="980"/>
        <w:gridCol w:w="60"/>
        <w:gridCol w:w="120"/>
        <w:gridCol w:w="60"/>
        <w:gridCol w:w="560"/>
        <w:gridCol w:w="60"/>
        <w:gridCol w:w="120"/>
        <w:gridCol w:w="60"/>
        <w:gridCol w:w="980"/>
        <w:gridCol w:w="60"/>
        <w:gridCol w:w="120"/>
        <w:gridCol w:w="60"/>
        <w:gridCol w:w="56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8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80" w:type="dxa"/>
            <w:gridSpan w:val="22"/>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5,013,734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5,531,599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7,388,109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78.6</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1,545,208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1,339,045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2,010,347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21.4</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6,558,942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6,870,644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9,398,456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Group’s selling expenses primarily consist of (i) employee compensation, including salaries, benefits, share-based compensation and bonuses for its sales and marketing staff, (ii) marketing, promotional and advertising expenses, (iii) operating and lease expenses for direct stores, (iv) commissions to franchised stores, and (v) certain other expenses. The Group’s general and administrative expenses primarily consist of (i) employee compensation, including salaries, benefits, share-based compensation and bonuses for its general corporate staff, (ii) professional service fees, and (iii) certain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The Group’s selling, general and administrative expenses are mainly driven by the number of its sales, marketing, general corporate personnel, marketing and promotion activities and the expansion of its sales and service network.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The Group’s other income primarily consists of government grants that are not contingent upon the Group’s further actions or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gain on derivative liability relating to the contingent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Group’s fair value gain on derivative liability relating to the contingent consideration consists of the fair value change of the contingent consideration related to the acquisition of DiDi’s smart auto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The Group’s interest income primarily consists of interest earned on cash deposits in banks.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expenses </w:t>
      </w:r>
    </w:p>
    <w:p>
      <w:pPr>
        <w:pStyle w:val="TextBody"/>
        <w:bidi w:val="0"/>
        <w:spacing w:before="120" w:after="0"/>
        <w:jc w:val="left"/>
        <w:rPr>
          <w:rFonts w:ascii="Times New Roman" w:hAnsi="Times New Roman"/>
          <w:sz w:val="20"/>
        </w:rPr>
      </w:pPr>
      <w:r>
        <w:rPr>
          <w:rFonts w:ascii="Times New Roman" w:hAnsi="Times New Roman"/>
          <w:sz w:val="20"/>
        </w:rPr>
        <w:t xml:space="preserve">The Group’s interest expenses primarily consist of interest expenses with respect to its bank borrowings and other non-current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gain (loss) on derivative assets or derivative liabilities </w:t>
      </w:r>
    </w:p>
    <w:p>
      <w:pPr>
        <w:pStyle w:val="TextBody"/>
        <w:bidi w:val="0"/>
        <w:spacing w:before="120" w:after="0"/>
        <w:jc w:val="left"/>
        <w:rPr>
          <w:rFonts w:ascii="Times New Roman" w:hAnsi="Times New Roman"/>
          <w:sz w:val="20"/>
        </w:rPr>
      </w:pPr>
      <w:r>
        <w:rPr>
          <w:rFonts w:ascii="Times New Roman" w:hAnsi="Times New Roman"/>
          <w:sz w:val="20"/>
        </w:rPr>
        <w:t xml:space="preserve">Fair value gain (loss) on derivative assets or derivative liabilities consists of net gain (loss) from the change in the fair value of derivative assets or derivative liabilities, which are primarily related to forward exchange contracts and the forward share purchase agreement with the Volkswagen Group.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gain (loss) on long-term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Investment gain (loss) on long-term investments consists of net gain (loss) from the change in the fair value of long-term investments, which include equity investments, over which the Group has neither significant influence nor control, and debt investments.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as an exempted company with limited liability under the Companies Act (Revised) of the Cayman Islands and accordingly, are exempted from Cayman Islands income tax. As such, we are not subject to tax on either income or capital gain. In addition, no Cayman Islands withholding tax is imposed upon any payments of dividends by us to our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XPeng Limited is exempted from income tax on its foreign-derived income in the BVI. There are no withholding taxes in the BVI.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Under the current Hong Kong Inland Revenue Ordinance, our Hong Kong subsidiaries are subject to 16.5% Hong Kong profit tax on their taxable income generated from operations in Hong Kong. Additionally, payments of dividends by our Hong Kong subsidiaries to us are not subject to any Hong Kong withholding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income tax rate in the United States where our subsidiaries have significant operations for the years ended December 31, 2023, 2024 and 2025 is 27.98%, which is a blended state and federal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w:t>
      </w:r>
    </w:p>
    <w:p>
      <w:pPr>
        <w:pStyle w:val="TextBody"/>
        <w:bidi w:val="0"/>
        <w:spacing w:before="120" w:after="0"/>
        <w:jc w:val="left"/>
        <w:rPr>
          <w:rFonts w:ascii="Times New Roman" w:hAnsi="Times New Roman"/>
          <w:sz w:val="20"/>
        </w:rPr>
      </w:pPr>
      <w:r>
        <w:rPr>
          <w:rFonts w:ascii="Times New Roman" w:hAnsi="Times New Roman"/>
          <w:sz w:val="20"/>
        </w:rPr>
        <w:t xml:space="preserve">The PRC Enterprise Income Tax Law, or the EIT Law, which became effective on January 1, 2008 and was most recently amended on December 29, 2018, applies a uniform enterprise income tax rate of 25% to both FIEs and domestic enterprises. Pursuant to the Administrative Measures on Certification of High and New Technology Enterprises promulgated by the MOST, MOF and State Taxation Administration on January 29, 2016, certified high and new technology enterprises, or HNTEs, are entitled to a favorable statutory tax rate of 15%, subject to renewal every three years. During the three-year period, an HNTE must conduct a qualification self-review each year to ensure it meets the HNTE criteria and is eligible for the 15% preferential tax rate for the given year. If an HNTE fails to meet the criteria for being an HNTE in any year, the enterprise cannot enjoy the 15% preferential tax rate in the given year, and must instead use the uniform enterprise income tax rate of 25%. Upon the expiration of qualification, re-accreditation of certification from the relevant authorities is necessary for the enterprise to continue enjoying the preferential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Xiaopeng Technology applied for the HNTE qualification and received approval in December 2022 and renewed in December 2025. Xiaopeng Technology is entitled to continue to enjoy the beneficial tax rate of 15% as an HNTE for the years 2025 through 2027. </w:t>
      </w:r>
    </w:p>
    <w:p>
      <w:pPr>
        <w:pStyle w:val="TextBody"/>
        <w:bidi w:val="0"/>
        <w:spacing w:before="240" w:after="0"/>
        <w:jc w:val="left"/>
        <w:rPr>
          <w:rFonts w:ascii="Times New Roman" w:hAnsi="Times New Roman"/>
          <w:sz w:val="20"/>
        </w:rPr>
      </w:pPr>
      <w:r>
        <w:rPr>
          <w:rFonts w:ascii="Times New Roman" w:hAnsi="Times New Roman"/>
          <w:sz w:val="20"/>
        </w:rPr>
        <w:t xml:space="preserve">Zhaoqing Xiaopeng applied for the HNTE qualification and received approval in December 2020 and renewed in December 2023. Zhaoqing Xiaopeng is entitled to continue to enjoy the beneficial tax rate of 15% as an HNTE for the years 2023 through 2025. </w:t>
      </w:r>
    </w:p>
    <w:p>
      <w:pPr>
        <w:pStyle w:val="TextBody"/>
        <w:bidi w:val="0"/>
        <w:spacing w:before="240" w:after="0"/>
        <w:jc w:val="left"/>
        <w:rPr>
          <w:rFonts w:ascii="Times New Roman" w:hAnsi="Times New Roman"/>
          <w:sz w:val="20"/>
        </w:rPr>
      </w:pPr>
      <w:r>
        <w:rPr>
          <w:rFonts w:ascii="Times New Roman" w:hAnsi="Times New Roman"/>
          <w:sz w:val="20"/>
        </w:rPr>
        <w:t xml:space="preserve">Beijing Xiaopeng Motors Co., Ltd. applied for the HNTE qualification and received approval in December 2020. This enterprise is entitled to continue to enjoy the beneficial tax rate of 15% as an HNTE for the years 2020 through 2022. Since the qualification was expired in 2023, this enterprise applies tax rate of 25% for the year 2023. This enterprise re-applied for the HNTE qualification and received approval in December 2024, then entitled to enjoy the beneficial tax rate of 15% as an HNTE for the years 2024 through 2026. </w:t>
      </w:r>
    </w:p>
    <w:p>
      <w:pPr>
        <w:pStyle w:val="TextBody"/>
        <w:bidi w:val="0"/>
        <w:spacing w:before="240" w:after="0"/>
        <w:jc w:val="left"/>
        <w:rPr>
          <w:rFonts w:ascii="Times New Roman" w:hAnsi="Times New Roman"/>
          <w:sz w:val="20"/>
        </w:rPr>
      </w:pPr>
      <w:r>
        <w:rPr>
          <w:rFonts w:ascii="Times New Roman" w:hAnsi="Times New Roman"/>
          <w:sz w:val="20"/>
        </w:rPr>
        <w:t xml:space="preserve">Shanghai Xiaopeng Motors Technology Co., Ltd. applied for the HNTE qualification and received approval in December 2022. Shanghai Xiaopeng Motors Technology Co., Ltd. is entitled to continue to enjoy the beneficial tax rate of 15% as an HNTE for the years 2022 through 2024, which was expired in 2025. </w:t>
      </w:r>
    </w:p>
    <w:p>
      <w:pPr>
        <w:pStyle w:val="TextBody"/>
        <w:bidi w:val="0"/>
        <w:spacing w:before="240" w:after="0"/>
        <w:jc w:val="left"/>
        <w:rPr>
          <w:rFonts w:ascii="Times New Roman" w:hAnsi="Times New Roman"/>
          <w:sz w:val="20"/>
        </w:rPr>
      </w:pPr>
      <w:r>
        <w:rPr>
          <w:rFonts w:ascii="Times New Roman" w:hAnsi="Times New Roman"/>
          <w:sz w:val="20"/>
        </w:rPr>
        <w:t xml:space="preserve">Shenzhen Pengxing Smart Research Co., Ltd. applied for the HNTE qualification and received approval in October 2023. Shenzhen Pengxing Smart Research Co., Ltd. is entitled to continue to enjoy the beneficial tax rate of 15% as an HNTE for the years 2023 through 2025. </w:t>
      </w:r>
    </w:p>
    <w:p>
      <w:pPr>
        <w:pStyle w:val="TextBody"/>
        <w:bidi w:val="0"/>
        <w:spacing w:before="240" w:after="0"/>
        <w:jc w:val="left"/>
        <w:rPr>
          <w:rFonts w:ascii="Times New Roman" w:hAnsi="Times New Roman"/>
          <w:sz w:val="20"/>
        </w:rPr>
      </w:pPr>
      <w:r>
        <w:rPr>
          <w:rFonts w:ascii="Times New Roman" w:hAnsi="Times New Roman"/>
          <w:sz w:val="20"/>
        </w:rPr>
        <w:t xml:space="preserve">Zhaoqing Xiaopeng New Energy applied for the HNTE qualification and received approval in December 2024. Zhaoqing Xiaopeng New Energy is entitled to enjoy the beneficial tax rate of 15% as an HNTE for the years 2024 through 2026. </w:t>
      </w:r>
    </w:p>
    <w:p>
      <w:pPr>
        <w:pStyle w:val="TextBody"/>
        <w:bidi w:val="0"/>
        <w:spacing w:before="240" w:after="0"/>
        <w:jc w:val="left"/>
        <w:rPr>
          <w:rFonts w:ascii="Times New Roman" w:hAnsi="Times New Roman"/>
          <w:sz w:val="20"/>
        </w:rPr>
      </w:pPr>
      <w:r>
        <w:rPr>
          <w:rFonts w:ascii="Times New Roman" w:hAnsi="Times New Roman"/>
          <w:sz w:val="20"/>
        </w:rPr>
        <w:t xml:space="preserve">Guangzhou Zhipeng Manufacturing Co., Ltd. applied for the HNTE qualification and received approval in December 2024. Guangzhou Zhipeng Manufacturing Co., Ltd. is entitled to enjoy the beneficial tax rate of 15% as an HNTE for the years 2024 through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EIT Law, dividends generated after January 1, 2008 and payable by an FIE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the PRC. In accordance with the accounting guidance, all undistributed earnings are presumed to be transferred to the parent company and are subject to the withholding taxes. All FIEs are subject to the withholding tax from January 1, 2008. The presumption may be overcome if we have sufficient evidence to demonstrate that the undistributed earnings will be re-invested and the remittance of the dividends will be postponed indefinitely. We did not record any dividend withholding tax, as we have no retained earnings for any of the years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and others of a non-PRC company is located.” Based on a review of surrounding facts and circumstances, we do not believe that it is likely that our operations outside of the PRC will be considered a resident enterprise for PRC tax purposes. However, due to limited guidance and implementation history of the EIT Law, there is uncertainty as to the application of the EIT Law. If our holding company in the Cayman Islands or any of our subsidiaries outside of China were deemed to be a resident enterprise under the EIT Law, it would be subject to enterprise income tax on its worldwide income at a uniform enterprise income tax rate of 25%. </w:t>
      </w:r>
    </w:p>
    <w:p>
      <w:pPr>
        <w:pStyle w:val="TextBody"/>
        <w:bidi w:val="0"/>
        <w:spacing w:before="240" w:after="0"/>
        <w:jc w:val="left"/>
        <w:rPr>
          <w:rFonts w:ascii="Times New Roman" w:hAnsi="Times New Roman"/>
          <w:sz w:val="20"/>
        </w:rPr>
      </w:pPr>
      <w:r>
        <w:rPr>
          <w:rFonts w:ascii="Times New Roman" w:hAnsi="Times New Roman"/>
          <w:sz w:val="20"/>
        </w:rPr>
        <w:t xml:space="preserve">According to relevant policies promulgated by the State Tax Bureau of the PRC and effective from 2008 onwards, enterprises engaged in R&amp;D activities are entitled to claim an additional tax deduction amounting to 75% or 100% of qualified R&amp;D expenses incurred in determining its tax assessable profits for that year. The additional deduction of 100% or 75% of qualified R&amp;D expenses can only be claimed directly in the annual EIT filling and subject to the approval from the relevant tax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critical accounting policies, judgments and estimates should be read in conjunction with our consolidated financial statements and other disclosures included in this annual report. When reviewing our consolidated financial statements, you should consider (i) our selection of critical accounting policies, (ii) the judgments and other uncertainties affecting the application of such policies and (iii) the sensitivity of reported results to changes in conditions and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or as the control of the goods or services is transferred upon delivery to customers. Depending on the terms of the contract and the laws that apply to the contract, control of the goods and services may be transferred over time or at a point in time. Control of the goods and services is transferred over time if our performance: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provides all of the benefits received and consumed simultaneously by the customer;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creates and enhances an asset that the customer controls as we perform;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create an asset with an alternative use to us and we have an enforceable right to payment for performance completed to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customers may include multiple performance obligations. For such arrangements, we allocate overall contract price to each distinct performance obligation based on its relative standalone selling price in accordance with ASC 606. We generally determine standalone selling prices for each individual distinct performance obligation identified based on the prices charged to customers. If the standalone selling price is not directly observable, it is estimated using expected cost plus a margin or adjusted market assessment approach, depending on the availability of observable information, the data utilized, and considering our pricing policies and practices in making pricing decisions. Assumptions and estimations have been made in estimating the relative selling price of each distinct performance obligation, and changes in judgments on these assumptions and estimates may affect the revenue recognition. The discount provided in the contract are allocated by us to all performance obligations as conditions under ASC 606-10-32-37 to allocate the discounts to one or more, but not all, of the performance obligations are not met.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Vehicle Sales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sales of our Smart EVs and NEVs, together with a number of embedded products and services through a contract. There are multiple distinct performance obligations explicitly stated in a sales contract including sales of vehicle, free battery charging within two to six years, extended lifetime warranty, option between household charging pile and charging card, vehicle internet connection services, services of lifetime free battery charging in XPENG-branded supercharging stations, lifetime warranty of battery and customer loyalty point, which are defined by our sales policy and accounted for in accordance with ASC 606. The standard warranty provided by us is accounted for in accordance with ASC 460, Guarantees, and the estimated costs are recorded as a liability when we transfer the control of vehicle to a customer. </w:t>
      </w:r>
    </w:p>
    <w:p>
      <w:pPr>
        <w:pStyle w:val="TextBody"/>
        <w:bidi w:val="0"/>
        <w:spacing w:before="240" w:after="0"/>
        <w:jc w:val="left"/>
        <w:rPr>
          <w:rFonts w:ascii="Times New Roman" w:hAnsi="Times New Roman"/>
          <w:sz w:val="20"/>
        </w:rPr>
      </w:pPr>
      <w:r>
        <w:rPr>
          <w:rFonts w:ascii="Times New Roman" w:hAnsi="Times New Roman"/>
          <w:sz w:val="20"/>
        </w:rPr>
        <w:t xml:space="preserve">In the instance that some eligible customers select to pay by installments for vehicles or batteries under an auto financing program provided to the customers by us, such arrangement contains a significant financing component and as a result, the transaction price is adjusted to reflect the impact of time value of the transaction price using an applicable discount rate (i.e. the interest rates of the loan reflecting the credit risk of the borrower). We allocate the financing amount to all performance obligations proportionately based on their relative selling prices, as conditions prescribed under ASC 606-10-32-37 are not met. </w:t>
      </w:r>
    </w:p>
    <w:p>
      <w:pPr>
        <w:pStyle w:val="TextBody"/>
        <w:bidi w:val="0"/>
        <w:spacing w:before="240" w:after="0"/>
        <w:jc w:val="left"/>
        <w:rPr>
          <w:rFonts w:ascii="Times New Roman" w:hAnsi="Times New Roman"/>
          <w:sz w:val="20"/>
        </w:rPr>
      </w:pPr>
      <w:r>
        <w:rPr>
          <w:rFonts w:ascii="Times New Roman" w:hAnsi="Times New Roman"/>
          <w:sz w:val="20"/>
        </w:rPr>
        <w:t xml:space="preserve">Receivables related to the vehicle and battery installment payments are recognized as installment payment receivables. The difference between the gross receivable and the respective present value is recorded as unrealized finance income. Interest income resulting from arrangements with a significant financing component is presented as services and others. </w:t>
      </w:r>
    </w:p>
    <w:p>
      <w:pPr>
        <w:pStyle w:val="TextBody"/>
        <w:bidi w:val="0"/>
        <w:spacing w:before="240" w:after="0"/>
        <w:jc w:val="left"/>
        <w:rPr>
          <w:rFonts w:ascii="Times New Roman" w:hAnsi="Times New Roman"/>
          <w:sz w:val="20"/>
        </w:rPr>
      </w:pPr>
      <w:r>
        <w:rPr>
          <w:rFonts w:ascii="Times New Roman" w:hAnsi="Times New Roman"/>
          <w:sz w:val="20"/>
        </w:rPr>
        <w:t xml:space="preserve">The overall contract price of vehicle and related products and services is allocated to each distinct performance obligation based on the relative estimated standalone selling price. The revenue for sales of the Smart EVs and NEVs and household charging pile is recognized at a point in time when the control of the Smart EV and NEV is transferred to the customer and the charging pile is installed at customer’s designated 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vehicle internet connection service, we recognize the revenue using a straight-line method. For the extended lifetime warranty and lifetime battery warranty, we recognize revenue over time based on a cost-to-cost method. For the free battery charging within two to six years and charging card to be consumed to exchange for charging services, we consider that a measure of progress based on usage best reflects the performance, as it is typically a promise to deliver the underlying service rather than a promise to stand ready. For the services of lifetime free battery charging in XPENG-branded supercharging stations, we recognize the revenue over time based on a straight-line method during the expected useful life of the vehicle. </w:t>
      </w:r>
    </w:p>
    <w:p>
      <w:pPr>
        <w:pStyle w:val="TextBody"/>
        <w:bidi w:val="0"/>
        <w:spacing w:before="240" w:after="0"/>
        <w:jc w:val="left"/>
        <w:rPr>
          <w:rFonts w:ascii="Times New Roman" w:hAnsi="Times New Roman"/>
          <w:sz w:val="20"/>
        </w:rPr>
      </w:pPr>
      <w:r>
        <w:rPr>
          <w:rFonts w:ascii="Times New Roman" w:hAnsi="Times New Roman"/>
          <w:sz w:val="20"/>
        </w:rPr>
        <w:t xml:space="preserve">Initial refundable deposits for intention orders and non-refundable deposits for vehicle reservations received from customers prior to vehicle purchase agreements are signed are recognized as refundable deposits from customers (accruals and other liabilities) and advances from customers (accruals and other liabilities). When vehicle purchase agreements are signed, if the consideration for the vehicle and all embedded services must be paid in advance, which means the payments received are prior to the transfer of goods or services by us, we record a contract liability (deferred revenue) for the allocated amount relating to those unperformed obligations. At the same time, advances from customers are classified as a contract liability (deferred revenue) as part of the consideration.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Services and others </w:t>
      </w:r>
    </w:p>
    <w:p>
      <w:pPr>
        <w:pStyle w:val="TextBody"/>
        <w:bidi w:val="0"/>
        <w:spacing w:before="120" w:after="0"/>
        <w:jc w:val="left"/>
        <w:rPr>
          <w:rFonts w:ascii="Times New Roman" w:hAnsi="Times New Roman"/>
          <w:sz w:val="20"/>
        </w:rPr>
      </w:pPr>
      <w:r>
        <w:rPr>
          <w:rFonts w:ascii="Times New Roman" w:hAnsi="Times New Roman"/>
          <w:sz w:val="20"/>
        </w:rPr>
        <w:t xml:space="preserve">We provide other services to customers, including services embedded in a sales contract, supercharging service, maintenance service, technical support services, auto financing services, technical research and development services, second-hand vehicle sales services and others. Other services included supercharging service, maintenance service, technical support service, technical research and development services and second-hand vehicle sales services. These services are recognized either over time or point in time, as appropriate, under ASC 606. </w:t>
      </w:r>
    </w:p>
    <w:p>
      <w:pPr>
        <w:pStyle w:val="TextBody"/>
        <w:bidi w:val="0"/>
        <w:spacing w:before="240" w:after="0"/>
        <w:jc w:val="left"/>
        <w:rPr>
          <w:rFonts w:ascii="Times New Roman" w:hAnsi="Times New Roman"/>
          <w:sz w:val="20"/>
        </w:rPr>
      </w:pPr>
      <w:r>
        <w:rPr>
          <w:rFonts w:ascii="Times New Roman" w:hAnsi="Times New Roman"/>
          <w:sz w:val="20"/>
        </w:rPr>
        <w:t xml:space="preserve">We license a car manufacturer with right to use our in-house developed platform and technology, and provide technical research and development services to integrate our technology into the car manufacturer’s vehicles and platforms. </w:t>
      </w:r>
    </w:p>
    <w:p>
      <w:pPr>
        <w:pStyle w:val="TextBody"/>
        <w:bidi w:val="0"/>
        <w:spacing w:before="240" w:after="0"/>
        <w:jc w:val="left"/>
        <w:rPr>
          <w:rFonts w:ascii="Times New Roman" w:hAnsi="Times New Roman"/>
          <w:sz w:val="20"/>
        </w:rPr>
      </w:pPr>
      <w:r>
        <w:rPr>
          <w:rFonts w:ascii="Times New Roman" w:hAnsi="Times New Roman"/>
          <w:sz w:val="20"/>
        </w:rPr>
        <w:t xml:space="preserve">Before the start of production of the car manufacturer’s vehicles (“SOP”), we provide technical research and development (“R&amp;D”) services, provide license of our proprietary intellectual property, or transfer our know-how pack to the car manufacturer. We conclude that the licensing and know-how pack transfers are bundled with technical R&amp;D services as one single performance obligation, since the customer cannot benefit from the licenses and know-how pack either on its own or together with other resources that are readily available to itself. </w:t>
      </w:r>
    </w:p>
    <w:p>
      <w:pPr>
        <w:pStyle w:val="TextBody"/>
        <w:bidi w:val="0"/>
        <w:spacing w:before="240" w:after="0"/>
        <w:jc w:val="left"/>
        <w:rPr>
          <w:rFonts w:ascii="Times New Roman" w:hAnsi="Times New Roman"/>
          <w:sz w:val="20"/>
        </w:rPr>
      </w:pPr>
      <w:r>
        <w:rPr>
          <w:rFonts w:ascii="Times New Roman" w:hAnsi="Times New Roman"/>
          <w:sz w:val="20"/>
        </w:rPr>
        <w:t xml:space="preserve">The licensing involved in the post-SOP phase primarily represents the right to enable the car manufacturer’s vehicles produced and sold with the technology and software developed based on the Group’s owned intellectual property. Other promises identified in the post-SOP phase are immaterial in the context of the contract. For those contracts with sales-based royalties, the sales-based royalty revenue is recognized when the car manufacturer’s subsequent sales occur. </w:t>
      </w:r>
    </w:p>
    <w:p>
      <w:pPr>
        <w:pStyle w:val="TextBody"/>
        <w:bidi w:val="0"/>
        <w:spacing w:before="240" w:after="0"/>
        <w:jc w:val="left"/>
        <w:rPr>
          <w:rFonts w:ascii="Times New Roman" w:hAnsi="Times New Roman"/>
          <w:sz w:val="20"/>
        </w:rPr>
      </w:pPr>
      <w:r>
        <w:rPr>
          <w:rFonts w:ascii="Times New Roman" w:hAnsi="Times New Roman"/>
          <w:sz w:val="20"/>
        </w:rPr>
        <w:t xml:space="preserve">For contracts pursuant to which we create an asset with no alternate use to us and have an enforceable right to payment from the car manufacturer for performance completed to date, licenses and technical R&amp;D services revenue is recognized over a period of the contract based on the progress towards completion of the performance obligation using input method, which is measured by reference to the contract costs incurred for the work performed up to the end of the reporting period as a percentage of the total estimated costs to complete the contract. Contract costs contain labor cost, material cost and other direct costs. </w:t>
      </w:r>
    </w:p>
    <w:p>
      <w:pPr>
        <w:pStyle w:val="TextBody"/>
        <w:bidi w:val="0"/>
        <w:spacing w:before="240" w:after="0"/>
        <w:jc w:val="left"/>
        <w:rPr>
          <w:rFonts w:ascii="Times New Roman" w:hAnsi="Times New Roman"/>
          <w:sz w:val="20"/>
        </w:rPr>
      </w:pPr>
      <w:r>
        <w:rPr>
          <w:rFonts w:ascii="Times New Roman" w:hAnsi="Times New Roman"/>
          <w:sz w:val="20"/>
        </w:rPr>
        <w:t xml:space="preserve">Fees entitled by us upon or post SOP of the car manufacturer’s vehicles are considered as variable consideration as there are binary outcomes regarding the fee entitlement. We estimate the amount of variable consideration using the most likely amount method and include the estimated amount in the transaction price to the extent that it is probable that a significant reversal in the amount of cumulative revenue recognized will not occur when the uncertainty associated with the variable consideration is subsequently resolved. Upon achievement of certain key milestones as stipulated in the R&amp;D services contract, we determine that certain portions of the variable consideration, including amounts satisfied in prior periods, should be included in the transaction price for the current period. The remaining portions are excluded from the transaction price based on an assessment of facts and circumstances existing at the reporting date. We reassess and update our estimate at each reporting date until the uncertainty is resolved. </w:t>
      </w:r>
    </w:p>
    <w:p>
      <w:pPr>
        <w:pStyle w:val="TextBody"/>
        <w:bidi w:val="0"/>
        <w:spacing w:before="240" w:after="0"/>
        <w:jc w:val="left"/>
        <w:rPr>
          <w:rFonts w:ascii="Times New Roman" w:hAnsi="Times New Roman"/>
          <w:sz w:val="20"/>
        </w:rPr>
      </w:pPr>
      <w:r>
        <w:rPr>
          <w:rFonts w:ascii="Times New Roman" w:hAnsi="Times New Roman"/>
          <w:sz w:val="20"/>
        </w:rPr>
        <w:t xml:space="preserve">A portion of the consideration is paid in installments, which provides the customer with a significant benefit of financing. In this circumstance, the contract contains a significant financing component. Consequently, the transaction price is adjusted to reflect the time value of money using an applicable discount rate (i.e., a rate reflecting the credit characteristics of the party receiving financing in the contract). The rate to be used is determined at contract inception and is not reassessed. Receivables related to these installment payments are recognized as installment payment receivables. The difference between the gross receivable and its present value is recorded as unearned finance income. No interest income resulting from arrangements with a significant financing component is recorded as of the period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Practical expedients and exemptions </w:t>
      </w:r>
    </w:p>
    <w:p>
      <w:pPr>
        <w:pStyle w:val="TextBody"/>
        <w:bidi w:val="0"/>
        <w:spacing w:before="120" w:after="0"/>
        <w:jc w:val="left"/>
        <w:rPr>
          <w:rFonts w:ascii="Times New Roman" w:hAnsi="Times New Roman"/>
          <w:sz w:val="20"/>
        </w:rPr>
      </w:pPr>
      <w:r>
        <w:rPr>
          <w:rFonts w:ascii="Times New Roman" w:hAnsi="Times New Roman"/>
          <w:sz w:val="20"/>
        </w:rPr>
        <w:t xml:space="preserve">We follow the guidance on immaterial promises when identifying performance obligations in the vehicle sales contracts and concludes that lifetime roadside assistance, traffic ticket inquiry service, courtesy car service, on-site troubleshooting, parts replacement service and others, are not performance obligations considering these services are value-added services to enhance customer experience rather than critical items for vehicle driving and forecasted that usage of these services will be very limited. We also perform an estimation on the standalone fair value of each promise applying a cost plus margin approach and concludes that the standalone fair value of foresaid services are insignificant individually and in aggregate, representing less than 1% of vehicle gross selling price and aggregate fair value of each individual promise. </w:t>
      </w:r>
    </w:p>
    <w:p>
      <w:pPr>
        <w:pStyle w:val="TextBody"/>
        <w:bidi w:val="0"/>
        <w:spacing w:before="240" w:after="0"/>
        <w:jc w:val="left"/>
        <w:rPr>
          <w:rFonts w:ascii="Times New Roman" w:hAnsi="Times New Roman"/>
          <w:sz w:val="20"/>
        </w:rPr>
      </w:pPr>
      <w:r>
        <w:rPr>
          <w:rFonts w:ascii="Times New Roman" w:hAnsi="Times New Roman"/>
          <w:sz w:val="20"/>
        </w:rPr>
        <w:t xml:space="preserve">Considering the qualitative assessment and the result of the quantitative estimate, we concluded not to assess whether promises are performance obligation if they are immaterial in the context of the contract and the relative standalone fair value individually and in aggregate is less than 1% of the contract price, namely the lifetime roadside assistance, traffic ticket inquiry service, courtesy car service, on-site troubleshooting and parts replacement service and others. Related costs are then accrued instead.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We provide a manufacturer’s standard warranty on all vehicles sold, primarily in Chinese Mainland. We accrue a warranty reserve for the vehicles sold by us, which includes our best estimate of the future costs to be incurred in order to repair or replace items under warranties and recalls when identified. These estimates were made based on actual claims incurred to date and an estimate of the nature, frequency and magnitude of future claims with reference made to the past claim history. These estimates are inherently uncertain given our relatively short history of sales, and changes to our historical or projected warranty experience may cause material changes to the warranty reserve in the future. 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sales in the consolidated statements of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We do not consider standard warranty as being a separate performance obligation as it is intended to provide greater quality assurance to customers and is not viewed as a distinct obligation. Accordingly, standard warranty is accounted for in accordance with ASC 460, Guarantees. We also provide extended lifetime warranty which is sold separately through a vehicle sales contract. The extended lifetime warranty is an incremental service offered to customers and is considered a separate performance obligation distinct from other promises and is accounted for in accordance with ASC 606.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and Goodwill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business combinations under ASC 805, Business Combinations. Business combinations are recorded using the acquisition method of accounting, and the transaction consideration of an acquisition is determined based upon the aggregate fair value at the date of exchange of the assets transferred, liabilities incurred, and equity instruments issued, including any consideration contingent upon future events as defined. The costs directly attributable to the acquisition are expensed as incurred. Identifiable assets and liabilities acquired or assumed are measured separately at their fair value as of the acquisition date, irrespective of the extent of any noncontrolling interests.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total transaction consideration over the aggregate fair value of the acquired identifiable net assets is recorded as goodwill. If the total transaction consideration is less than the fair values of the net assets of the subsidiaries acquired, the difference is recognized directly in the consolidated statements of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Goodwill is not amortized but is tested for impairment annually, or more frequently if events or changes in circumstances indicate that it might be impaired, by performing the quantitative test through comparing each reporting unit’s fair value to its carrying value, including goodwill. No impairment provision was made related to our goodwill for the years ended December 31, 2023,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Fair Value Determination Related to the Accounting for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2023, we estimated the fair value of acquired vehicle platform technology (“VPT”) and VMTUD from the acquisition of DiDi’s smart auto business using the relief from royalty method and multiperiod excess earnings method, respectively. Our determination of the fair value of acquired VPT and VMTUD involved the use of estimates and assumptions related to projected revenues, royalty rate and discount rate for VPT, and in the case of VMTUD, projected revenues and discount rate. We estimated the useful life of VPT to be 10 years, based on the expected technical obsolescence and innovations and industry experience of such intangible asset. The VMTUD acquired is considered indefinite-lived until the completion of the associated research and development efforts and a determination related to commercial feasibility. As of December 31,2024, the VMTUD was transferred into vehicle model technology (“VMT”) as finite-lived intangible assets upon its completion and the estimated useful life is assessed to be 5 years. Research and development expenditures that were incurred after the acquisition, including those for completing the research and development activities, were expensed as incurred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estimated the acquisition date fair value of the contingent consideration liability based on the total contingent shares to be issued, considering projected delivery volume, and the closing price of the Company’s common share on the acquisition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a summary of the Group’s consolidated results of operations for the periods presented, in absolute amount and as a percentage of our revenues. This information should be read together with our consolidated financial statements and related notes included elsewhere in this annual report. The operating results in any period are not necessarily indicative of the results that may be expected for any future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75"/>
        <w:gridCol w:w="120"/>
        <w:gridCol w:w="60"/>
        <w:gridCol w:w="1175"/>
        <w:gridCol w:w="155"/>
        <w:gridCol w:w="60"/>
        <w:gridCol w:w="60"/>
        <w:gridCol w:w="560"/>
        <w:gridCol w:w="155"/>
        <w:gridCol w:w="60"/>
        <w:gridCol w:w="60"/>
        <w:gridCol w:w="1175"/>
        <w:gridCol w:w="155"/>
        <w:gridCol w:w="60"/>
        <w:gridCol w:w="60"/>
        <w:gridCol w:w="560"/>
        <w:gridCol w:w="155"/>
        <w:gridCol w:w="60"/>
        <w:gridCol w:w="60"/>
        <w:gridCol w:w="1175"/>
        <w:gridCol w:w="155"/>
        <w:gridCol w:w="60"/>
        <w:gridCol w:w="60"/>
        <w:gridCol w:w="560"/>
        <w:gridCol w:w="170"/>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4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40" w:type="dxa"/>
            <w:gridSpan w:val="22"/>
            <w:tcBorders/>
            <w:vAlign w:val="center"/>
          </w:tcPr>
          <w:p>
            <w:pPr>
              <w:pStyle w:val="TableContents"/>
              <w:bidi w:val="0"/>
              <w:spacing w:before="0" w:after="283"/>
              <w:jc w:val="center"/>
              <w:rPr>
                <w:b/>
              </w:rPr>
            </w:pPr>
            <w:r>
              <w:rPr>
                <w:b/>
              </w:rPr>
              <w:t>(in thousands, except percentages)</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28,010,857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35,829,402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68,378,920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89.1</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2,665,210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5,036,907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8,340,822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30,676,067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40,866,309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76,719,742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(28,457,909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(32,866,163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(59,598,391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(77.7</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(1,767,003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(2,154,378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(2,648,432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cost of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(30,224,912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(98.5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(35,020,541</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(85.7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(62,246,823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(81.1</w:t>
            </w:r>
          </w:p>
        </w:tc>
        <w:tc>
          <w:tcPr>
            <w:tcW w:w="170" w:type="dxa"/>
            <w:tcBorders/>
            <w:vAlign w:val="center"/>
          </w:tcPr>
          <w:p>
            <w:pPr>
              <w:pStyle w:val="TableContents"/>
              <w:bidi w:val="0"/>
              <w:spacing w:before="0" w:after="283"/>
              <w:jc w:val="left"/>
              <w:rPr>
                <w:b/>
              </w:rPr>
            </w:pPr>
            <w:r>
              <w:rPr>
                <w:b/>
              </w:rPr>
              <w:t>) </w:t>
            </w:r>
          </w:p>
        </w:tc>
      </w:tr>
      <w:tr>
        <w:trPr/>
        <w:tc>
          <w:tcPr>
            <w:tcW w:w="32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451,155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5,845,768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14,472,919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18.9</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(5,276,574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(6,456,734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(9,489,979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(6,558,942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(6,870,644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(9,398,456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(12.2</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465,588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589,227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1,761,419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the contingent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234,245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(117,305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(11,340,589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(37.0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(12,503,906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(30.6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(17,244,321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(22.5</w:t>
            </w:r>
          </w:p>
        </w:tc>
        <w:tc>
          <w:tcPr>
            <w:tcW w:w="170" w:type="dxa"/>
            <w:tcBorders/>
            <w:shd w:fill="CCEEFF" w:val="clear"/>
            <w:vAlign w:val="center"/>
          </w:tcPr>
          <w:p>
            <w:pPr>
              <w:pStyle w:val="TableContents"/>
              <w:bidi w:val="0"/>
              <w:spacing w:before="0" w:after="283"/>
              <w:jc w:val="left"/>
              <w:rPr>
                <w:b/>
              </w:rPr>
            </w:pPr>
            <w:r>
              <w:rPr>
                <w:b/>
              </w:rPr>
              <w:t>) </w:t>
            </w:r>
          </w:p>
        </w:tc>
      </w:tr>
      <w:tr>
        <w:trPr/>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(10,889,434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(35.5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(6,658,138</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(16.3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(2,771,402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(3.6</w:t>
            </w:r>
          </w:p>
        </w:tc>
        <w:tc>
          <w:tcPr>
            <w:tcW w:w="170" w:type="dxa"/>
            <w:tcBorders/>
            <w:vAlign w:val="center"/>
          </w:tcPr>
          <w:p>
            <w:pPr>
              <w:pStyle w:val="TableContents"/>
              <w:bidi w:val="0"/>
              <w:spacing w:before="0" w:after="283"/>
              <w:jc w:val="left"/>
              <w:rPr>
                <w:b/>
              </w:rPr>
            </w:pPr>
            <w:r>
              <w:rPr>
                <w:b/>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1,260,162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1,374,525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1,163,210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(268,666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(343,982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(379,931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loss on derivative liability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(410,417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 gain on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(224,364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(261,991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500,533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gain (loss) from foreign currency transactions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285,998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41,934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108,154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 (expenses) benefit and share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(10,393,705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(33.9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(5,830,975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(14.3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(1,156,803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(1.5</w:t>
            </w:r>
          </w:p>
        </w:tc>
        <w:tc>
          <w:tcPr>
            <w:tcW w:w="170" w:type="dxa"/>
            <w:tcBorders/>
            <w:shd w:fill="CCEEFF" w:val="clear"/>
            <w:vAlign w:val="center"/>
          </w:tcPr>
          <w:p>
            <w:pPr>
              <w:pStyle w:val="TableContents"/>
              <w:bidi w:val="0"/>
              <w:spacing w:before="0" w:after="283"/>
              <w:jc w:val="left"/>
              <w:rPr>
                <w:b/>
              </w:rPr>
            </w:pPr>
            <w:r>
              <w:rPr>
                <w:b/>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69,780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(0.02</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(10,375,775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(33.8</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(5,790,264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(14.2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(1,139,460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(1.5</w:t>
            </w:r>
          </w:p>
        </w:tc>
        <w:tc>
          <w:tcPr>
            <w:tcW w:w="170" w:type="dxa"/>
            <w:tcBorders/>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2025 compared to year ended December 31, 2024 </w:t>
      </w:r>
    </w:p>
    <w:p>
      <w:pPr>
        <w:pStyle w:val="TextBody"/>
        <w:bidi w:val="0"/>
        <w:spacing w:before="12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The Group’s revenues increased from RMB40,866.3 million in 2024 to RMB76,719.7 million in 2025, which was primarily due to an increase in revenues from vehicle sales. The Group recorded revenues from vehicle sales of RMB68,378.9 million in 2025, as compared to RMB35,829.4 million in 2024. The increase was mainly attributable to the strong growth of our vehicle sales. We delivered a total of 190,068 units of vehicles in 2024, and a total of 429,445 units of vehicles in 2025, representing a significant year-over-year growth of 125.9% from 2024 to 2025. The Group recorded revenues from services and others of RMB8,340.8 million in 2025, as compared to RMB5,036.9 million in 2024. The increase was mainly attributable to the increased revenue from technical research and development services related to the platform and software strategic technical collaboration, parts and accessories sales in line with higher accumulated vehicle sales, and carbon credit trading. </w:t>
      </w:r>
    </w:p>
    <w:p>
      <w:pPr>
        <w:pStyle w:val="TextBody"/>
        <w:bidi w:val="0"/>
        <w:spacing w:before="240" w:after="0"/>
        <w:jc w:val="left"/>
        <w:rPr>
          <w:rFonts w:ascii="Times New Roman" w:hAnsi="Times New Roman"/>
          <w:sz w:val="20"/>
        </w:rPr>
      </w:pPr>
      <w:r>
        <w:rPr>
          <w:rFonts w:ascii="Times New Roman" w:hAnsi="Times New Roman"/>
          <w:i/>
          <w:sz w:val="20"/>
        </w:rPr>
        <w:t xml:space="preserve">Cost of sales. </w:t>
      </w:r>
      <w:r>
        <w:rPr>
          <w:rFonts w:ascii="Times New Roman" w:hAnsi="Times New Roman"/>
          <w:sz w:val="20"/>
        </w:rPr>
        <w:t xml:space="preserve">The Group’s cost of sales increased from RMB35,020.5 million in 2024 to RMB62,246.8 million in 2025. Such increase was mainly in line with vehicle deliveries as described above. The Group recorded cost of sales from vehicle sales of RMB59,598.4 million in 2025, as compared to RMB32,866.2 million in 2024. The Group recorded cost of sales from services and others of RMB2,648.4 million in 2025, as compared to RMB2,154.4 million in 2024. </w:t>
      </w:r>
    </w:p>
    <w:p>
      <w:pPr>
        <w:pStyle w:val="TextBody"/>
        <w:bidi w:val="0"/>
        <w:spacing w:before="240" w:after="0"/>
        <w:jc w:val="left"/>
        <w:rPr>
          <w:rFonts w:ascii="Times New Roman" w:hAnsi="Times New Roman"/>
          <w:sz w:val="20"/>
        </w:rPr>
      </w:pPr>
      <w:r>
        <w:rPr>
          <w:rFonts w:ascii="Times New Roman" w:hAnsi="Times New Roman"/>
          <w:i/>
          <w:sz w:val="20"/>
        </w:rPr>
        <w:t xml:space="preserve">Gross profit. </w:t>
      </w:r>
      <w:r>
        <w:rPr>
          <w:rFonts w:ascii="Times New Roman" w:hAnsi="Times New Roman"/>
          <w:sz w:val="20"/>
        </w:rPr>
        <w:t xml:space="preserve">The Group’s gross profit increased from RMB5,845.8 million in 2024 to RMB14,472.9 million in 2025, mainly due to the ongoing cost reduction and the improvement in product mix of models as well as the higher gross margin from the aforementioned revenue from technical R&amp;D services, parts and accessories sales and carbon credit trading. </w:t>
      </w:r>
    </w:p>
    <w:p>
      <w:pPr>
        <w:pStyle w:val="TextBody"/>
        <w:bidi w:val="0"/>
        <w:spacing w:before="240" w:after="0"/>
        <w:jc w:val="left"/>
        <w:rPr>
          <w:rFonts w:ascii="Times New Roman" w:hAnsi="Times New Roman"/>
          <w:sz w:val="20"/>
        </w:rPr>
      </w:pPr>
      <w:r>
        <w:rPr>
          <w:rFonts w:ascii="Times New Roman" w:hAnsi="Times New Roman"/>
          <w:i/>
          <w:sz w:val="20"/>
        </w:rPr>
        <w:t>Vehicle margin</w:t>
      </w:r>
      <w:r>
        <w:rPr>
          <w:rFonts w:ascii="Times New Roman" w:hAnsi="Times New Roman"/>
          <w:sz w:val="20"/>
        </w:rPr>
        <w:t xml:space="preserve">. The Group’s vehicle margin increased from 8.3% in 2024 to 12.8% in 2025. The year-over-year increase was explained by the ongoing cost reduction and the improvement in product mix of models. </w:t>
      </w:r>
    </w:p>
    <w:p>
      <w:pPr>
        <w:pStyle w:val="TextBody"/>
        <w:bidi w:val="0"/>
        <w:spacing w:before="240" w:after="0"/>
        <w:jc w:val="left"/>
        <w:rPr>
          <w:rFonts w:ascii="Times New Roman" w:hAnsi="Times New Roman"/>
          <w:sz w:val="20"/>
        </w:rPr>
      </w:pPr>
      <w:r>
        <w:rPr>
          <w:rFonts w:ascii="Times New Roman" w:hAnsi="Times New Roman"/>
          <w:i/>
          <w:sz w:val="20"/>
        </w:rPr>
        <w:t>Services and others margin</w:t>
      </w:r>
      <w:r>
        <w:rPr>
          <w:rFonts w:ascii="Times New Roman" w:hAnsi="Times New Roman"/>
          <w:sz w:val="20"/>
        </w:rPr>
        <w:t xml:space="preserve">. The Group’s services and others margin was 68.2% in 2025, compared with 57.2% for the prior year. The year-over-year increase was primarily attributable to the higher gross margin from the aforementioned revenue from technical R&amp;D services, parts and accessories sales and carbon credit trading.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expenses. </w:t>
      </w:r>
      <w:r>
        <w:rPr>
          <w:rFonts w:ascii="Times New Roman" w:hAnsi="Times New Roman"/>
          <w:sz w:val="20"/>
        </w:rPr>
        <w:t xml:space="preserve">The Group’s research and development expenses increased by 47.0% from RMB6,456.7 million in 2024 to RMB9,490.0 million in 2025, mainly due to higher expenses related to the development of new vehicle models and technologies as the Company expanded its product portfolio to support future growth. </w:t>
      </w:r>
    </w:p>
    <w:p>
      <w:pPr>
        <w:pStyle w:val="TextBody"/>
        <w:bidi w:val="0"/>
        <w:spacing w:before="240" w:after="0"/>
        <w:jc w:val="left"/>
        <w:rPr>
          <w:rFonts w:ascii="Times New Roman" w:hAnsi="Times New Roman"/>
          <w:sz w:val="20"/>
        </w:rPr>
      </w:pPr>
      <w:r>
        <w:rPr>
          <w:rFonts w:ascii="Times New Roman" w:hAnsi="Times New Roman"/>
          <w:i/>
          <w:sz w:val="20"/>
        </w:rPr>
        <w:t xml:space="preserve">Selling, general and administrative expenses. </w:t>
      </w:r>
      <w:r>
        <w:rPr>
          <w:rFonts w:ascii="Times New Roman" w:hAnsi="Times New Roman"/>
          <w:sz w:val="20"/>
        </w:rPr>
        <w:t xml:space="preserve">The Group’s selling, general and administrative expenses increased by 36.8% from RMB6,870.6 million in 2024 to RMB9,398.5 million in 2025, primarily due to the higher commission to the franchised stores driven by higher sales volumes, higher marketing and advertising expenses and higher employee compensation as a result of the growth in number of employees. </w:t>
      </w:r>
    </w:p>
    <w:p>
      <w:pPr>
        <w:pStyle w:val="TextBody"/>
        <w:bidi w:val="0"/>
        <w:spacing w:before="240" w:after="0"/>
        <w:jc w:val="left"/>
        <w:rPr>
          <w:rFonts w:ascii="Times New Roman" w:hAnsi="Times New Roman"/>
          <w:sz w:val="20"/>
        </w:rPr>
      </w:pPr>
      <w:r>
        <w:rPr>
          <w:rFonts w:ascii="Times New Roman" w:hAnsi="Times New Roman"/>
          <w:i/>
          <w:sz w:val="20"/>
        </w:rPr>
        <w:t xml:space="preserve">Other income, net. </w:t>
      </w:r>
      <w:r>
        <w:rPr>
          <w:rFonts w:ascii="Times New Roman" w:hAnsi="Times New Roman"/>
          <w:sz w:val="20"/>
        </w:rPr>
        <w:t xml:space="preserve">The Group’s other income increased by 198.9% from RMB589.2 million in 2024 to RMB1,761.4 million in 2025, primarily due to the increase in government subsidies. </w:t>
      </w:r>
    </w:p>
    <w:p>
      <w:pPr>
        <w:pStyle w:val="TextBody"/>
        <w:bidi w:val="0"/>
        <w:spacing w:before="240" w:after="0"/>
        <w:jc w:val="left"/>
        <w:rPr>
          <w:rFonts w:ascii="Times New Roman" w:hAnsi="Times New Roman"/>
          <w:sz w:val="20"/>
        </w:rPr>
      </w:pPr>
      <w:r>
        <w:rPr>
          <w:rFonts w:ascii="Times New Roman" w:hAnsi="Times New Roman"/>
          <w:i/>
          <w:sz w:val="20"/>
        </w:rPr>
        <w:t>Fair value gain (loss) on derivative liability relating to the contingent consideration</w:t>
      </w:r>
      <w:r>
        <w:rPr>
          <w:rFonts w:ascii="Times New Roman" w:hAnsi="Times New Roman"/>
          <w:sz w:val="20"/>
        </w:rPr>
        <w:t xml:space="preserve">. The Group recorded a fair value loss on derivative liability relating to the contingent consideration of RMB117.3 million in 2025, as compared to gain of RMB234.2 million in 2024, primarily due to the fair value change of the contingent consideration related to the acquisition of DiDi’s smart auto business. </w:t>
      </w:r>
    </w:p>
    <w:p>
      <w:pPr>
        <w:pStyle w:val="TextBody"/>
        <w:bidi w:val="0"/>
        <w:spacing w:before="240" w:after="0"/>
        <w:jc w:val="left"/>
        <w:rPr>
          <w:rFonts w:ascii="Times New Roman" w:hAnsi="Times New Roman"/>
          <w:sz w:val="20"/>
        </w:rPr>
      </w:pPr>
      <w:r>
        <w:rPr>
          <w:rFonts w:ascii="Times New Roman" w:hAnsi="Times New Roman"/>
          <w:i/>
          <w:sz w:val="20"/>
        </w:rPr>
        <w:t xml:space="preserve">Loss from operations. </w:t>
      </w:r>
      <w:r>
        <w:rPr>
          <w:rFonts w:ascii="Times New Roman" w:hAnsi="Times New Roman"/>
          <w:sz w:val="20"/>
        </w:rPr>
        <w:t xml:space="preserve">As a result of the foregoing, the Group incurred a loss from operations of RMB2,771.4 million in 2025, as compared to RMB6,658.1 million in 2024. </w:t>
      </w:r>
    </w:p>
    <w:p>
      <w:pPr>
        <w:pStyle w:val="TextBody"/>
        <w:bidi w:val="0"/>
        <w:spacing w:before="240" w:after="0"/>
        <w:jc w:val="left"/>
        <w:rPr>
          <w:rFonts w:ascii="Times New Roman" w:hAnsi="Times New Roman"/>
          <w:sz w:val="20"/>
        </w:rPr>
      </w:pPr>
      <w:r>
        <w:rPr>
          <w:rFonts w:ascii="Times New Roman" w:hAnsi="Times New Roman"/>
          <w:i/>
          <w:sz w:val="20"/>
        </w:rPr>
        <w:t xml:space="preserve">Interest income. </w:t>
      </w:r>
      <w:r>
        <w:rPr>
          <w:rFonts w:ascii="Times New Roman" w:hAnsi="Times New Roman"/>
          <w:sz w:val="20"/>
        </w:rPr>
        <w:t xml:space="preserve">The Group recorded interest income of RMB1,163.2 million in 2025, as compared to RMB1,374.5 million in 2024, primarily representing our interest income attributable to our cash balances deposited with banks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Interest expenses. </w:t>
      </w:r>
      <w:r>
        <w:rPr>
          <w:rFonts w:ascii="Times New Roman" w:hAnsi="Times New Roman"/>
          <w:sz w:val="20"/>
        </w:rPr>
        <w:t xml:space="preserve">The Group recorded interest expenses of RMB379.9 million in 2025, as compared to RMB344.0 million in 2024, primarily due to an increase in bank borrowings. </w:t>
      </w:r>
    </w:p>
    <w:p>
      <w:pPr>
        <w:pStyle w:val="TextBody"/>
        <w:bidi w:val="0"/>
        <w:spacing w:before="240" w:after="0"/>
        <w:jc w:val="left"/>
        <w:rPr>
          <w:rFonts w:ascii="Times New Roman" w:hAnsi="Times New Roman"/>
          <w:sz w:val="20"/>
        </w:rPr>
      </w:pPr>
      <w:r>
        <w:rPr>
          <w:rFonts w:ascii="Times New Roman" w:hAnsi="Times New Roman"/>
          <w:i/>
          <w:sz w:val="20"/>
        </w:rPr>
        <w:t>Investment loss (gain) on long-term investments</w:t>
      </w:r>
      <w:r>
        <w:rPr>
          <w:rFonts w:ascii="Times New Roman" w:hAnsi="Times New Roman"/>
          <w:sz w:val="20"/>
        </w:rPr>
        <w:t xml:space="preserve">. The Group recorded investment gain on long-term investments of RMB500.5 million in 2025, as compared to the investment loss on long-term investments of RMB262.0 million in 2024 as a result of fair value fluctuation on the Company’s equity and debt investments. </w:t>
      </w:r>
    </w:p>
    <w:p>
      <w:pPr>
        <w:pStyle w:val="TextBody"/>
        <w:bidi w:val="0"/>
        <w:spacing w:before="240" w:after="0"/>
        <w:jc w:val="left"/>
        <w:rPr>
          <w:rFonts w:ascii="Times New Roman" w:hAnsi="Times New Roman"/>
          <w:sz w:val="20"/>
        </w:rPr>
      </w:pPr>
      <w:r>
        <w:rPr>
          <w:rFonts w:ascii="Times New Roman" w:hAnsi="Times New Roman"/>
          <w:i/>
          <w:sz w:val="20"/>
        </w:rPr>
        <w:t xml:space="preserve">Net loss. </w:t>
      </w:r>
      <w:r>
        <w:rPr>
          <w:rFonts w:ascii="Times New Roman" w:hAnsi="Times New Roman"/>
          <w:sz w:val="20"/>
        </w:rPr>
        <w:t xml:space="preserve">As a result of the foregoing, the Group incurred a net loss of RMB1,139.5 million in 2025, as compared to RMB5,790.3 million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For a discussion of the Group’s results of operations for the year ended December 31, 2024 compared with the year ended December 31, 2023, see “Item 5. Operating and Financial Review and Prospects—A. Operating Results—Results of Operations for Continuing Operations—Year Ended December 31, 2024 Compared to Year Ended December 31, 2023” in our annual report on Form 20-F for the year ended December 31, 2024, filed with the SEC on April 16, 2025</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 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The Group’s primary sources of liquidity have been through issuance of preferred shares, ordinary shares and bank borrowings, which have historically been sufficient to meet its working capital and capital expenditure requirements. As of December 31, 2023, 2024 and 2025, the Group had cash and cash equivalents, restricted cash, short-term investments and time deposits of a total of RMB45,698.5 million, RMB41,962.5 million and RMB47,656.5 million, respectively. The Group’s restricted cash, which amounted to RMB6,071.5 million as of December 31, 2025, primarily represents bank deposits for letters of guarantee, bank notes, bank borrowings and others. </w:t>
      </w:r>
    </w:p>
    <w:p>
      <w:pPr>
        <w:pStyle w:val="TextBody"/>
        <w:bidi w:val="0"/>
        <w:spacing w:before="240" w:after="0"/>
        <w:jc w:val="left"/>
        <w:rPr>
          <w:rFonts w:ascii="Times New Roman" w:hAnsi="Times New Roman"/>
          <w:sz w:val="20"/>
        </w:rPr>
      </w:pPr>
      <w:r>
        <w:rPr>
          <w:rFonts w:ascii="Times New Roman" w:hAnsi="Times New Roman"/>
          <w:sz w:val="20"/>
        </w:rPr>
        <w:t xml:space="preserve">In July and August of 2020, we received cash proceeds of US$900.0 million from our Series C+ round financing. </w:t>
      </w:r>
    </w:p>
    <w:p>
      <w:pPr>
        <w:pStyle w:val="TextBody"/>
        <w:bidi w:val="0"/>
        <w:spacing w:before="240" w:after="0"/>
        <w:jc w:val="left"/>
        <w:rPr>
          <w:rFonts w:ascii="Times New Roman" w:hAnsi="Times New Roman"/>
          <w:sz w:val="20"/>
        </w:rPr>
      </w:pPr>
      <w:r>
        <w:rPr>
          <w:rFonts w:ascii="Times New Roman" w:hAnsi="Times New Roman"/>
          <w:sz w:val="20"/>
        </w:rPr>
        <w:t xml:space="preserve">In August 2020, we completed our initial public offering in which we issued and sold an aggregate of 114,693,333 ADSs (including 14,959,999 ADSs sold upon the full exercise of the underwriters’ over-allotment option), representing 229,386,666 Class A ordinary shares, at a public offering price of US$15.00 per ADS for a total offering size of over US$1.72 billion. The net proceeds raised from the initial public offering were approximately US$1,655.7 million.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we completed our follow-on public offering in which we offered and sold an aggregate 55,200,000 ADSs (including 7,200,000 ADSs sold upon the full exercise of the underwriters’ over-allotment option), representing 110,400,000 Class A ordinary shares, raising a total of US$2,444.9 million in net proceeds.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2021, we signed a strategic cooperation agreement with leading domestic banks, which provides us with the option to secure a credit line of RMB12.8 billion with an extensive range of credit facilities. Under the terms of the strategic cooperation agreement, five domestic commercial banks, including the Agricultural Bank of China, the Bank of China, China Construction Bank, China CITIC Bank and Guangzhou Rural Commercial Bank, will provide credit facilities to support our business operations and expansion of our manufacturing, sales and service capabilities. These facilities will help us optimize the efficiency of our cash management, cost control and other corporate functions. </w:t>
      </w:r>
    </w:p>
    <w:p>
      <w:pPr>
        <w:pStyle w:val="TextBody"/>
        <w:bidi w:val="0"/>
        <w:spacing w:before="240" w:after="0"/>
        <w:jc w:val="left"/>
        <w:rPr>
          <w:rFonts w:ascii="Times New Roman" w:hAnsi="Times New Roman"/>
          <w:sz w:val="20"/>
        </w:rPr>
      </w:pPr>
      <w:r>
        <w:rPr>
          <w:rFonts w:ascii="Times New Roman" w:hAnsi="Times New Roman"/>
          <w:sz w:val="20"/>
        </w:rPr>
        <w:t xml:space="preserve">In July 2021, we completed our listing on the Hong Kong Stock Exchange and public offering of 97,083,300 Class A ordinary shares, raising a total of approximately HK$15,823.3 million (or US$2,039.0 million based on an exchange rate of HK$7.7604 to US$1.00 as of June 11, 2021) in net proceeds to us after deducting underwriting fees and the offering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February 2022, we completed a debt issuance of RMB775.0 million automobile leasing carbon-neutral asset-backed securities, or the ABS. The ABS was listed on the Shenzhen Stock Exchange in March 2022. The issued ABS of RMB624.0 million in the senior A tranche with a debt rating of AAA has a coupon rate of 3.00%. The issued ABS of RMB31.0 million in the senior B tranche with a debt rating of AA+ has a coupon rate of 3.50%. In September 2023, the ABS issued by us in February 2022 has matured. In November 2022, we completed another debt issuance of RMB964.0 million ABS on the Shanghai Stock Exchange. The issued ABS of RMB805.0 million in the senior A tranche with a debt rating of AAA has a coupon rate of 2.80% and the issued ABS of RMB39.0 million in senior B tranche with a debt rating of AA+ has a coupon rate of 3.00%.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we completed an asset-backed notes (“ABN”) issuance of RMB975.0 million on the inter-bank bond market. The issued ABN of RMB798.0 million in the senior A tranche with a debt rating of AAA has a coupon rate of 3.20% and the issued ABN of RMB44.0 million in senior B tranche with a debt rating of AA+ has a coupon rate of 3.20%.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we completed the Volkswagen Investment, in which we issued 94,079,255 Class A ordinary shares representing 4.99% of our outstanding share capital immediately following the Volkswagen Investment for a total consideration of US$705.6 million. The Volkswagen Investment was part of our strategic partnership with the Volkswagen Group. </w:t>
      </w:r>
    </w:p>
    <w:p>
      <w:pPr>
        <w:pStyle w:val="TextBody"/>
        <w:bidi w:val="0"/>
        <w:spacing w:before="240" w:after="0"/>
        <w:jc w:val="left"/>
        <w:rPr>
          <w:rFonts w:ascii="Times New Roman" w:hAnsi="Times New Roman"/>
          <w:sz w:val="20"/>
        </w:rPr>
      </w:pPr>
      <w:r>
        <w:rPr>
          <w:rFonts w:ascii="Times New Roman" w:hAnsi="Times New Roman"/>
          <w:sz w:val="20"/>
        </w:rPr>
        <w:t xml:space="preserve">In March and October 2024, the Company, through its wholly-owned subsidiary, completed the launch of an ABS respectively amounting to RMB1,016.0 million and RMB595.0 million by issuing debt securities to investors.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total balances of the ABN and the ABS were nil and RMB271.3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Group had short-term borrowings from banks in the PRC of total principals of RMB4,282.0 million and total long-term borrowings (including current and non-current portion, bank loan, ABS, and ABN) of RMB8,426.8 million.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Group’s existing cash and cash equivalents will be sufficient to meet its anticipated working capital requirements, including capital expenditures in the ordinary course of business for at least the next 12 months. We may, however, need additional cash resources in the future if we experience changes in business condition or other developments, or if we find and wish to pursue opportunities for investments, acquisitions, capital expenditures or similar actions. If we determine that our cash requirements exceed the amount of cash and cash equivalents the Group has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the Group’s cash flows for the periods presented: </w:t>
      </w:r>
    </w:p>
    <w:p>
      <w:pPr>
        <w:pStyle w:val="TextBody"/>
        <w:bidi w:val="0"/>
        <w:spacing w:before="0" w:after="0"/>
        <w:jc w:val="left"/>
        <w:rPr/>
      </w:pPr>
      <w:r>
        <w:rPr/>
        <w:t> </w:t>
      </w:r>
    </w:p>
    <w:tbl>
      <w:tblPr>
        <w:tblW w:w="9570" w:type="dxa"/>
        <w:jc w:val="left"/>
        <w:tblInd w:w="0" w:type="dxa"/>
        <w:tblLayout w:type="fixed"/>
        <w:tblCellMar>
          <w:top w:w="0" w:type="dxa"/>
          <w:left w:w="0" w:type="dxa"/>
          <w:bottom w:w="0" w:type="dxa"/>
          <w:right w:w="0" w:type="dxa"/>
        </w:tblCellMar>
      </w:tblPr>
      <w:tblGrid>
        <w:gridCol w:w="5405"/>
        <w:gridCol w:w="120"/>
        <w:gridCol w:w="60"/>
        <w:gridCol w:w="1100"/>
        <w:gridCol w:w="60"/>
        <w:gridCol w:w="120"/>
        <w:gridCol w:w="60"/>
        <w:gridCol w:w="1100"/>
        <w:gridCol w:w="155"/>
        <w:gridCol w:w="60"/>
        <w:gridCol w:w="60"/>
        <w:gridCol w:w="1100"/>
        <w:gridCol w:w="170"/>
      </w:tblGrid>
      <w:tr>
        <w:trPr/>
        <w:tc>
          <w:tcPr>
            <w:tcW w:w="5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10"/>
            <w:tcBorders/>
            <w:vAlign w:val="center"/>
          </w:tcPr>
          <w:p>
            <w:pPr>
              <w:pStyle w:val="TableContents"/>
              <w:bidi w:val="0"/>
              <w:spacing w:before="0" w:after="283"/>
              <w:jc w:val="center"/>
              <w:rPr>
                <w:b/>
              </w:rPr>
            </w:pPr>
            <w:r>
              <w:rPr>
                <w:b/>
              </w:rPr>
              <w:t>(RMB in thousands)</w:t>
            </w:r>
          </w:p>
        </w:tc>
        <w:tc>
          <w:tcPr>
            <w:tcW w:w="17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of Consolidated Cash Flow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956,164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(2,012,343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8,258,529</w:t>
            </w:r>
          </w:p>
        </w:tc>
        <w:tc>
          <w:tcPr>
            <w:tcW w:w="17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631,168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(1,255,099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(7,334,482</w:t>
            </w:r>
          </w:p>
        </w:tc>
        <w:tc>
          <w:tcPr>
            <w:tcW w:w="17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8,015,247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669,321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514,760</w:t>
            </w:r>
          </w:p>
        </w:tc>
        <w:tc>
          <w:tcPr>
            <w:tcW w:w="17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14,714,046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24,302,049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21,739,664</w:t>
            </w:r>
          </w:p>
        </w:tc>
        <w:tc>
          <w:tcPr>
            <w:tcW w:w="17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24,302,049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21,739,664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23,401,103</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was RMB8,258.5 million in 2025, primarily attributable to net loss of RMB1,139.5 million, adjusted for the positive non-cash items primary consisted of: (i) depreciation of property, plant and equipment of RMB1,804.7 million, (ii) amortization of intangible assets of RMB567.4 million, (iii) share-based compensation of RMB564.3 million, (iv) inventory write-downs of RMB555.4 million, (v) amortization of right-of-use assets of RMB540.1 million, (vi) fair value loss on derivative liability relating to the contingent consideration of RMB117.3 million primarily due to the fair value change of the contingent consideration related to the acquisition of DiDi’s smart auto business, and (vii) impairment of property, plant and equipment of RMB109.5 million. The amount was further adjusted for changes in itemized balances of operating assets and liabilities that have a positive effect on operating cash flow which were primary consisted of: (i) an increase in accounts and notes payable of RMB14,082.9 million in relation to the increase of purchase of raw materials for volume production, (ii) an increase in accruals and other liabilities of RMB3,443.3 million primarily due to the increased accrued cost and expense in connection with research and development, selling and marketing as well as purchase commitments relating to the cessation and upgrades of certain models, (iii) an increase in deferred revenue of RMB570.6 million primarily due to the increase in sales volume and (iv) a decrease in accounts and notes receivable of RMB386.5 million in relation to collection of new energy vehicle subsidies. However, the positive operating cash flow was partially offset by below negative factors, including non-cash items with negative effect consisted of (i) investment gain on long-term investments of RMB500.5 million and (ii) exchange gain from foreign currency transactions of RMB286.0 million; and changes in itemized balances of operating assets and liabilities that have a negative effect which were consisted of (i) an increase in inventory of RMB5,772.1 million, (ii) an increase in installment payment receivables of RMB3,105.1 million primarily due to the increase in sales volume and (iii) an increase in prepayments and other current assets of RMB2,188.5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RMB2,012.3 million in 2024, primarily attributable to net loss of RMB5,790.3 million, adjusted for the positive non-cash items primary consisted of: (i) depreciation of property, plant and equipment of RMB1,571.8 million, (ii) inventory write-downs of RMB943.7 million, (iii) amortization of intangible assets of RMB537.7 million, (iv) share-based compensation of RMB473.7 million, (v) amortization of right-of-use assets of RMB413.3 million, (vi) investment loss on long-term investments of RMB262.0 million and (vii) impairment of property, plant and equipment of RMB137.5 million, partially offset by the negative non-cash items including primarily fair value gain on derivative liability relating to the contingent consideration of RMB234.2 million primarily due to the fair value change of the contingent consideration related to the acquisition of DiDi’s smart auto business. The amount was further adjusted for changes in itemized balances of operating assets and liabilities that have a negative effect on operating cash flow which were primary consisted of: (i) an increase in installment payment receivables of RMB2,081.0 million primarily due to the increase in sales volume and (ii) an increase in inventory of RMB1,060.2 million primarily in relation to materials for volume production and finished goods, as well as certain changes in itemized balances of operating assets and liabilities that have a positive effect on cash flow, including primarily (i) an increase in accruals and other liabilities of RMB1,533.0 million, (ii) an increase in accounts and notes payable of RMB870.1 million in relation to the increase of purchase of raw materials for volume production and (iii) an increase in deferred revenue of RMB798.5 million primarily due to the increase in sales volume.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RMB956.2 million in 2023, primarily attributable to net loss of RMB10,375.8 million, adjusted for the positive non-cash items primary consisted of: (i) depreciation of property, plant and equipment of RMB1,645.8 million, (ii) inventory write-downs of RMB1,054.7 million, (iii) share-based compensation of RMB550.5 million, (iv) fair value loss on derivative assets or derivative liabilities of RMB410.4 million, (v) amortization of intangible assets of RMB230.5 million, (vi) investment loss on long-term investments of RMB224.4 million, (vii) amortization of right-of-use assets of RMB182.2 million; and further adjusted for changes in itemized balances of operating assets and liabilities that have a positive effect on operating cash flow which were primary consisted of: (i) an increase in accounts and notes payable of RMB7,955.9 million in relation to the increase of purchase of raw material for volume production, (ii) a decrease in accounts and notes receivable of RMB1,138.4 million in relation to collection of new energy vehicle subsidies, (iii) an increase in accruals and other liabilities of RMB1,089.1 million primarily due to the increased accrued cost and expense of research and development, selling and marketing as well as purchase commitments relating to the cessation of the G3i and upgrades of certain models, and (iv) an increase of other non-current liabilities of RMB443.5 million primarily due to the increased warranty provision in relation to the increased vehicles delivered. However, the positive operating cash flow was partially offset by below negative factors, including non-cash items with negative effect consisted of (i) interest income of RMB352.2 million, (ii) exchange gain from foreign currency transactions of RMB97.1 million; and changes in itemized balances of operating assets and liabilities that have a negative effect which were consisted of an increase in inventory of RMB2,358.8 million primarily in relation to materials for volume production and finished goods and an increase in installment payment receivables of RMB1,473.6 million primarily due to the increase in sales volume.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in 2025 was RMB7,334.5 million, which was primarily attributable to (i) purchase of property, plant and equipment of RMB3,155.9 million, (ii) placement of short-term investments of RMB2,305.1 million and (iii) placement of long-term deposits of RMB2,192.3 million, partially offset by maturities of short-term deposits of RMB1,206.3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2024 was RMB1,255.1 million, which was primarily attributable to (i) placement of short-term deposits of RMB2,984.2 million, (ii) purchase of property, plant and equipment of RMB2,226.1 million and (iii) placement of restricted long-term deposits of RMB1,100.0 million, partially offset by maturities of long-term deposits of RMB5,179.7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investing activities in 2023 was RMB631.2 million, which was primarily attributable to maturities of short-term deposits of RMB5,441.4 million, partially offset by (i) placement of long-term deposits of RMB3,128.8 million and (ii) purchase of property, plant and equipment of RMB2,096.3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in 2025 was RMB514.8 million, which was primarily attributable to proceeds from borrowings of RMB8,870.1 million, partially offset by repayments of borrowings by RMB8,293.5 million and repayments of finance lease liabilities of RMB61.8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in 2024 was RMB669.3 million, which was primarily attributable to proceeds from borrowing of RMB10,718.1 million, and partially offset by repayment of borrowings of RMB9,489.6 million and repayment of debt from third party investors of RMB500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in 2023 was RMB8,015.2 million, which was primarily attributable to (i) proceeds from borrowings of RMB8,271.8 million and (ii) proceeds from issuance of our Class A ordinary shares to the Volkswagen Group of RMB5,019.6 million, and partially offset by repayment of borrowings of RMB5,162.2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The Group made capital expenditures of RMB2,311.5 million, RMB2,427.9 million and RMB3,347.1 million in 2023, 2024 and 2025, respectively. In these years, the Group’s capital expenditures were used primarily for the construction of plants and Guangzhou Xiaopeng Technology Park and purchase of manufacturing equipment, intangible assets and land use rights. The Group expects to make capital expenditures primarily on the construction of plants and Guangzhou Xiaopeng Technology Park and purchase of equipment, intangible assets and land use rights in relation to our new manufacturing bases, as well as mold and tooling for new vehicle models.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Group’s indebtedness and contractual obligations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5"/>
        <w:gridCol w:w="120"/>
        <w:gridCol w:w="60"/>
        <w:gridCol w:w="1100"/>
        <w:gridCol w:w="60"/>
        <w:gridCol w:w="120"/>
        <w:gridCol w:w="60"/>
        <w:gridCol w:w="1115"/>
        <w:gridCol w:w="60"/>
        <w:gridCol w:w="120"/>
        <w:gridCol w:w="60"/>
        <w:gridCol w:w="980"/>
        <w:gridCol w:w="60"/>
        <w:gridCol w:w="120"/>
        <w:gridCol w:w="60"/>
        <w:gridCol w:w="980"/>
        <w:gridCol w:w="60"/>
        <w:gridCol w:w="120"/>
        <w:gridCol w:w="63"/>
        <w:gridCol w:w="1037"/>
        <w:gridCol w:w="75"/>
      </w:tblGrid>
      <w:tr>
        <w:trPr/>
        <w:tc>
          <w:tcPr>
            <w:tcW w:w="3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 1</w:t>
              <w:b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3- 5</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75" w:type="dxa"/>
            <w:tcBorders/>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35"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and long-term borrowings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12,708,815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6,119,950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3,771,455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1,315,497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1,501,913</w:t>
            </w:r>
          </w:p>
        </w:tc>
        <w:tc>
          <w:tcPr>
            <w:tcW w:w="75" w:type="dxa"/>
            <w:tcBorders/>
            <w:shd w:fill="CCEEFF" w:val="clear"/>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6,305,437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688,262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1,199,346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1,529,034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2,888,795</w:t>
            </w:r>
          </w:p>
        </w:tc>
        <w:tc>
          <w:tcPr>
            <w:tcW w:w="75" w:type="dxa"/>
            <w:tcBorders/>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924,324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31,767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66,602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825,955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commitments for property, plant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1,815,402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1,807,288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on borrowings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812,954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268,440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331,804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63,394</w:t>
            </w:r>
          </w:p>
        </w:tc>
        <w:tc>
          <w:tcPr>
            <w:tcW w:w="75" w:type="dxa"/>
            <w:tcBorders/>
            <w:shd w:fill="CCEEFF" w:val="clear"/>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commitments for raw materials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4,858,559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4,001,378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507,683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349,498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commitment for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76,835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1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03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27,718,971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b/>
              </w:rPr>
            </w:pPr>
            <w:r>
              <w:rPr>
                <w:b/>
              </w:rPr>
              <w:t>12,993,920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5,890,623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4,380,326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b/>
              </w:rPr>
            </w:pPr>
            <w:r>
              <w:rPr>
                <w:b/>
              </w:rPr>
              <w:t>4,454,102</w:t>
            </w:r>
          </w:p>
        </w:tc>
        <w:tc>
          <w:tcPr>
            <w:tcW w:w="75" w:type="dxa"/>
            <w:tcBorders/>
            <w:vAlign w:val="center"/>
          </w:tcPr>
          <w:p>
            <w:pPr>
              <w:pStyle w:val="TableContents"/>
              <w:bidi w:val="0"/>
              <w:spacing w:before="0" w:after="283"/>
              <w:jc w:val="left"/>
              <w:rPr/>
            </w:pPr>
            <w:r>
              <w:rPr/>
              <w:t> </w:t>
            </w:r>
          </w:p>
        </w:tc>
      </w:tr>
      <w:tr>
        <w:trPr/>
        <w:tc>
          <w:tcPr>
            <w:tcW w:w="3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1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double" w:sz="6" w:space="1" w:color="000000"/>
              </w:pBdr>
              <w:bidi w:val="0"/>
              <w:spacing w:before="0" w:after="0"/>
              <w:jc w:val="left"/>
              <w:rPr/>
            </w:pPr>
            <w:r>
              <w:rPr/>
              <w:t> </w:t>
            </w:r>
          </w:p>
        </w:tc>
        <w:tc>
          <w:tcPr>
            <w:tcW w:w="103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The Group began its operations in 2015 through Chengxing Zhidong. The Group undertook the Reorganization to facilitate our initial public offering in the United States. As part of the Reorganization, the Group incorporated XPeng Inc., its holding company in December 2018. As a transitional arrangement of the Reorganization, Xiaopeng Motors, our wholly-owned subsidiary, entered into a series of contractual agreements with Chengxing Zhidong and its shareholders in September 2019, pursuant to which Xiaopeng Motors exercised effective control over the operations of Chengxing Zhidong. In May 2020, Xiaopeng Motors completed its purchase of 100% equity interest in Chengxing Zhidong. Consequently, Chengxing Zhidong became an indirect wholly-owned subsidiary of XPeng Inc. </w:t>
      </w:r>
    </w:p>
    <w:p>
      <w:pPr>
        <w:pStyle w:val="TextBody"/>
        <w:bidi w:val="0"/>
        <w:spacing w:before="240" w:after="0"/>
        <w:jc w:val="left"/>
        <w:rPr>
          <w:rFonts w:ascii="Times New Roman" w:hAnsi="Times New Roman"/>
          <w:sz w:val="20"/>
        </w:rPr>
      </w:pPr>
      <w:r>
        <w:rPr>
          <w:rFonts w:ascii="Times New Roman" w:hAnsi="Times New Roman"/>
          <w:sz w:val="20"/>
        </w:rPr>
        <w:t xml:space="preserve">XPeng Inc., the Group’s holding company, has no material operations of its own. The Group conducts its operations primarily through its subsidiaries, the Group VIEs and their subsidiaries in China. As a result, XPeng Inc.’s ability to pay dividends depends upon dividends paid by the Group’s PRC subsidiaries. If the Group’s existing PRC subsidiaries or any newly formed ones incur debt on their own behalf in the future, the instruments governing their debt may restrict their ability to pay dividends to the Group. In addition, the Group’s subsidiaries in China are permitted to pay dividends to the Group only out of their retained earnings, if any, as determined in accordance with PRC accounting standards and regulations. Under PRC law, each of the Group’s subsidiaries, the Group VIEs and their subsidiaries in China is required to set aside at least 10% of its after-tax profits each year, if any, to fund certain statutory reserve funds until such reserve funds reach 50% of its registered capital. In addition, the Group’s subsidiaries in China may allocate a portion of its after-tax profits based on PRC accounting standards to enterprise expansion funds and staff bonus and welfare funds at its discretion, and the Group VIEs and their subsidiaries may allocate a portion of their after-tax profits based on PRC accounting standards to a discretionary surplus fund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 For more information, see “Item 4. Information on the Company—B. Business Overview—Regulation—Regulation Related to Foreign Exchange and Dividend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Please see Note 3 to our consolidated financial statements included elsewhere in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not entered into any off-balance sheet financial guarantees or other off-balance sheet commitments to guarantee the payment obligations of any third parties. The Group has not entered into any derivative contracts that are indexed to its shares and classified as shareholder’s equity or that are not reflected in the Group’s consolidated financial statements. Furthermore, the Group does not have any retained or contingent interest in assets transferred to an unconsolidated entity that serves as credit, liquidity or market risk support to such entity. The Group does not have any variable interest in any unconsolidated entity that provides financing, liquidity, market risk or credit support to the Group or engages in leasing, hedging or product development services with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 Research and Development, Patent and Licenses, etc. </w:t>
      </w:r>
    </w:p>
    <w:p>
      <w:pPr>
        <w:pStyle w:val="TextBody"/>
        <w:bidi w:val="0"/>
        <w:spacing w:before="120" w:after="0"/>
        <w:jc w:val="left"/>
        <w:rPr>
          <w:rFonts w:ascii="Times New Roman" w:hAnsi="Times New Roman"/>
          <w:sz w:val="20"/>
        </w:rPr>
      </w:pPr>
      <w:r>
        <w:rPr>
          <w:rFonts w:ascii="Times New Roman" w:hAnsi="Times New Roman"/>
          <w:sz w:val="20"/>
        </w:rPr>
        <w:t xml:space="preserve">Technological innovation is critical to our success, and we strategically develop most of key technologies in-house, such as ADAS, intelligent operating system, powertrain and E/E architecture. We have been and will continue to invest heavily on our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The Group’s research and development expenses were RMB5,276.6 million, RMB6,456.7 million and RMB9,490.0 million in 2023, 2024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See “Item 4. Information on the Company—B. Business Overview—Our Technologies.” </w:t>
      </w:r>
    </w:p>
    <w:p>
      <w:pPr>
        <w:pStyle w:val="TextBody"/>
        <w:bidi w:val="0"/>
        <w:spacing w:before="360" w:after="0"/>
        <w:jc w:val="left"/>
        <w:rPr>
          <w:rFonts w:ascii="Times New Roman" w:hAnsi="Times New Roman"/>
          <w:b/>
          <w:sz w:val="20"/>
        </w:rPr>
      </w:pPr>
      <w:r>
        <w:rPr>
          <w:rFonts w:ascii="Times New Roman" w:hAnsi="Times New Roman"/>
          <w:b/>
          <w:sz w:val="20"/>
        </w:rPr>
        <w:t xml:space="preserve">D. Trend Information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disclosed elsewhere in this annual report, we are not aware of any trends, uncertainties, demands, commitments or events for the year ended December 31, 2025 that are reasonably likely to have a material effect on our total net revenues, income, profitability, liquidity or capital reserves, or that caused the disclosed financial information to be not necessarily indicative of future operating results or financial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E. 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See “Item 5. Operating and Financial Review and Prospects—A. Operating Results—Critical Accounting Policies and Estimates.”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905"/>
        <w:gridCol w:w="5270"/>
      </w:tblGrid>
      <w:tr>
        <w:trPr/>
        <w:tc>
          <w:tcPr>
            <w:tcW w:w="905" w:type="dxa"/>
            <w:tcBorders/>
            <w:vAlign w:val="center"/>
          </w:tcPr>
          <w:p>
            <w:pPr>
              <w:pStyle w:val="TableContents"/>
              <w:bidi w:val="0"/>
              <w:spacing w:before="0" w:after="283"/>
              <w:jc w:val="left"/>
              <w:rPr>
                <w:b/>
              </w:rPr>
            </w:pPr>
            <w:bookmarkStart w:id="10" w:name="rom36361_8"/>
            <w:bookmarkEnd w:id="10"/>
            <w:r>
              <w:rPr>
                <w:b/>
              </w:rPr>
              <w:t>ITEM 6.</w:t>
            </w:r>
          </w:p>
        </w:tc>
        <w:tc>
          <w:tcPr>
            <w:tcW w:w="5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SENIOR MANAGEMENT AND EMPLOYEES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Directors and Senior Management </w:t>
      </w:r>
    </w:p>
    <w:p>
      <w:pPr>
        <w:pStyle w:val="TextBody"/>
        <w:bidi w:val="0"/>
        <w:spacing w:before="12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directors and executive officers as of the date of this annual report. </w:t>
      </w:r>
    </w:p>
    <w:p>
      <w:pPr>
        <w:pStyle w:val="TextBody"/>
        <w:bidi w:val="0"/>
        <w:spacing w:before="0" w:after="0"/>
        <w:jc w:val="left"/>
        <w:rPr/>
      </w:pPr>
      <w:r>
        <w:rPr/>
        <w:t> </w:t>
      </w:r>
    </w:p>
    <w:tbl>
      <w:tblPr>
        <w:tblW w:w="8160" w:type="dxa"/>
        <w:jc w:val="left"/>
        <w:tblInd w:w="0" w:type="dxa"/>
        <w:tblLayout w:type="fixed"/>
        <w:tblCellMar>
          <w:top w:w="0" w:type="dxa"/>
          <w:left w:w="0" w:type="dxa"/>
          <w:bottom w:w="0" w:type="dxa"/>
          <w:right w:w="0" w:type="dxa"/>
        </w:tblCellMar>
      </w:tblPr>
      <w:tblGrid>
        <w:gridCol w:w="1655"/>
        <w:gridCol w:w="120"/>
        <w:gridCol w:w="79"/>
        <w:gridCol w:w="346"/>
        <w:gridCol w:w="60"/>
        <w:gridCol w:w="120"/>
        <w:gridCol w:w="578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Xiaopeng He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Co-founder, Chairman, Executive Director and Chief Executive Officer</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Ji-Xun Foo</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Non-executive Director</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Donghao Yang</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Non-executive Director</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Fang Qu</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Independent Non-executive Director</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HongJiang Zhang</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Non-executive Director</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Yudong Chen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Independent Non-executive Director</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Fengying Wang</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President</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Hongdi Brian Gu</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Honorary Vice Chairman of the Board and Co-President</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Jiaming (James) Wu</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of Finance and Accounting</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Xiaopeng He </w:t>
      </w:r>
      <w:r>
        <w:rPr>
          <w:rFonts w:ascii="Times New Roman" w:hAnsi="Times New Roman"/>
          <w:sz w:val="20"/>
        </w:rPr>
        <w:t xml:space="preserve">is our co-founder, executive director, chairman and chief executive officer. Mr. He currently holds directorships in other members of the Group. Prior to serving as chairman and chief executive officer of our company, Mr. He served at Alibaba Group Holding Limited, a public company listed on the NYSE (symbol: BABA) and the Hong Kong Stock Exchange (stock code: 9988), from June 2014 to August 2017, including serving as the president of Alibaba mobile business group, chairman of Alibaba Games and president of Tudou.com. In 2004, Mr. He co-founded UCWeb Inc., a Chinese mobile internet company that provides mobile internet software technology and services, and served as the president of product from January 2005 to June 2014. In June 2014, UCWeb Inc. was acquired by Alibaba Group Holding Limited. Mr. He previously served as an independent director and a member of the audit committee of HUYA Inc., a game live streaming platform company in China listed on the NYSE (symbol: HUYA) from May 2018 to May 2020. Mr. He received his bachelor’s degree in computer science from South China University of Technology in July 1999. Mr. He obtained the qualification certificate of senior economist (technology entrepreneur) in business administration issued by the Human Resources and Social Security Department of Guangdong Province in January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Ji-Xun Foo </w:t>
      </w:r>
      <w:r>
        <w:rPr>
          <w:rFonts w:ascii="Times New Roman" w:hAnsi="Times New Roman"/>
          <w:sz w:val="20"/>
        </w:rPr>
        <w:t xml:space="preserve">is a non-executive director of our company. Mr. Foo has served as a managing partner at GGV Capital, a venture capital firm, from 2006 through 2023 and currently serves as a senior managing partner at Granite Asia, a multi-asset investment platform. From 2000 to 2005, Mr. Foo worked at Draper Fisher Jurvetson ePlanet Ventures L.P., a venture capital fund, and last served as a director. From 1996 to 2000, he served as a manager of the Finance and Investment Division of the National Science and Technology Board of Singapore. From 1993 to 1996, Mr. Foo served as the leader of a research and development project at Hewlett-Packard, an information technology company listed on the NYSE (symbol: HPQ). Mr. Foo has served as a director of Baidu, Inc., a company listed on the NASDAQ (symbol: BIDU) and the Stock Exchange (stock code: 9888) since July 2019. Mr. Foo served as a director of Bombardier Inc., a company listed on the Toronto Stock Exchange (symbol: BBD) from May 5, 2022 to November 6, 2024. Mr. Foo received his master of science degree in management of technology in January 1997 and his bachelor’s degree with first class honors in engineering in June 1993 from the National University of Singapore. </w:t>
      </w:r>
    </w:p>
    <w:p>
      <w:pPr>
        <w:pStyle w:val="TextBody"/>
        <w:bidi w:val="0"/>
        <w:spacing w:before="240" w:after="0"/>
        <w:jc w:val="left"/>
        <w:rPr>
          <w:rFonts w:ascii="Times New Roman" w:hAnsi="Times New Roman"/>
          <w:sz w:val="20"/>
        </w:rPr>
      </w:pPr>
      <w:r>
        <w:rPr>
          <w:rFonts w:ascii="Times New Roman" w:hAnsi="Times New Roman"/>
          <w:b/>
          <w:sz w:val="20"/>
        </w:rPr>
        <w:t xml:space="preserve">Donghao Yang </w:t>
      </w:r>
      <w:r>
        <w:rPr>
          <w:rFonts w:ascii="Times New Roman" w:hAnsi="Times New Roman"/>
          <w:sz w:val="20"/>
        </w:rPr>
        <w:t xml:space="preserve">is an independent non-executive director of our company. Mr. Yang has served as a director of Yatsen Holding Limited, a company listed on the NYSE (symbol: YSG), since July 2020 and the chief financial officer of Yatsen Holding Limited since November 2020. Mr. Yang has served as a director of Vipshop Holdings Ltd., a company listed on the NYSE (symbol: VIPS), since November 2020 and served as the chief financial officer of Vipshop Holdings Ltd. from August 2011 to November 2020. Mr. Yang served as an independent director of Qingmu Digital Technology Co., Ltd., a company listed on the ChiNext Market of Shenzhen Stock Exchange (stock code: 301110), from July 2023 to January 2024. From 2010 to 2011, he served as the chief financial officer of Synutra International Inc., a company listed on the NASDAQ (symbol: SYUT). From 2007 to 2010, Mr. Yang served as the chief financial officer of Greater China of Tyson Foods, Inc., a company listed on the NYSE (symbol: TSN). From 2003 to 2007, Mr. Yang served as a finance director of Valmont Industries (China) Co., Ltd, a subsidiary of Valmont Industries, Inc., a company listed on the NYSE (symbol: VMI). Mr. Yang acquired corporate governance experience through his positions as a chief financial officer and director of Vipshop Holdings Ltd. and also as the chief financial officer of Synutra International Inc. and Greater China of Tyson Foods, Inc. His corporate governance experience includes, among others, (i) reviewing, monitoring and implementing companies’ policies, practices and compliance, (ii) facilitating effective communication between the board of directors and management, (iii) reviewing related party transactions, and (iv) understanding the duty of directors to act in the best interests of the company and the shareholders as a whole. Mr. Yang received his master’s degree in business administration from Harvard Business School in June 2003, and his bachelor’s degree in international economics from Nankai University in July 1993. </w:t>
      </w:r>
    </w:p>
    <w:p>
      <w:pPr>
        <w:pStyle w:val="TextBody"/>
        <w:bidi w:val="0"/>
        <w:spacing w:before="240" w:after="0"/>
        <w:jc w:val="left"/>
        <w:rPr>
          <w:rFonts w:ascii="Times New Roman" w:hAnsi="Times New Roman"/>
          <w:sz w:val="20"/>
        </w:rPr>
      </w:pPr>
      <w:r>
        <w:rPr>
          <w:rFonts w:ascii="Times New Roman" w:hAnsi="Times New Roman"/>
          <w:b/>
          <w:sz w:val="20"/>
        </w:rPr>
        <w:t xml:space="preserve">Fang Qu </w:t>
      </w:r>
      <w:r>
        <w:rPr>
          <w:rFonts w:ascii="Times New Roman" w:hAnsi="Times New Roman"/>
          <w:sz w:val="20"/>
        </w:rPr>
        <w:t xml:space="preserve">is an independent non-executive director of our company. Prior to joining our company, Ms. Qu co-founded lifestyle community platform Xiaohongshu in 2013. She devoted herself to the development and leadership of Xiaohongshu and was responsible for Xiaohongshu’s management, strategic partnerships, new business opportunities, and external affairs, and also participated in strategic planning as well as investments and acquisitions. Under her leadership, Xiaohongshu grew from a startup company into one of the important lifestyle community platforms in China. From 2008 to 2013, she managed different business units in Shanghai and Wuhan for a wholly-owned Norwegian entity under Wenao Culture. Prior to working at Wenao Culture, she joined the Bertelsmann Group where she led the marketing segment for its publishing business. Ms. Qu obtained corporate governance experience in the course of her startup and entrepreneurship experience of developing and leading Xiaohongshu. Her corporate governance experience includes, among others, (i) monitoring and implementing internal control systems, (ii) updating and optimizing corporate governance policies, and (iii) regular communication with the board of directors and shareholders. Ms. Qu received her bachelor’s degree in international journalism and communication from Beijing Foreign Studies University in July 2006.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HongJiang Zhang</w:t>
      </w:r>
      <w:r>
        <w:rPr>
          <w:rFonts w:ascii="Times New Roman" w:hAnsi="Times New Roman"/>
          <w:sz w:val="20"/>
        </w:rPr>
        <w:t xml:space="preserve"> is an independent non-executive director of our company. Dr. Zhang has served as a senior adviser of Carlyle Group since May 2018 and a venture partner at Source Code Capital since December 2016. From October 2011 to November 2016, he served as the chief executive officer and an executive director of Kingsoft Corporation Limited, a company listed on the Hong Kong Stock Exchange (stock code: 3888), and as the founder and chief executive officer of Kingsoft Cloud Holdings Limited, a company listed on the NASDAQ (symbol: KC). From April 1999 to October 2011, Dr. Zhang served as chief technology officer of the Microsoft Asia-Pacific Research and Development Group. Dr. Zhang was appointed as a Microsoft Distinguished Scientist in 2010. Dr. Zhang has served as an independent director of Zepp Health Corp., a company listed on the NYSE (symbol: ZEPP), since February 2018, and an independent non-executive director and chairman of AAC Technologies Holding Inc., a company listed on the Hong Kong Stock Exchange (stock code: 2018), since January 2019 and May 2020, respectively. He has also served as an independent non-executive director of BabyTree Group, a company listed on the Hong Kong Stock Exchange (stock code: 1761), from November 2018 to August 2022, and an independent director of Digital China Group Co., Ltd., a company listed on the Shenzhen Stock Exchange (stock code: 000034) from September 2017 to April 2021. Dr. Zhang was appointed as an independent director of Ant Group Co., Ltd. in September 2024. Dr. Zhang has accumulated extensive corporate governance experience through his positions as an independent non-executive director and independent director of Zepp Health Corp., AAC Technologies Holding Inc., BabyTree Group and Digital China Group Co., Ltd. His corporate governance experience includes, among others, (i) reviewing, monitoring and providing recommendations as to companies’ policies, practices and compliance, (ii) facilitating effective communication between the board of directors and management, (iii) reviewing and opining on connected transactions, and (iv) understanding the requirements of the Listing Rules and directors’ duty to act in the best interests of the company and the shareholders as a whole. Dr. Zhang received his Ph.D. in electronic engineering from Technical University of Denmark in October 1991, and his bachelor of science degree in radio electronics from Zhengzhou University in July 1982. </w:t>
      </w:r>
    </w:p>
    <w:p>
      <w:pPr>
        <w:pStyle w:val="TextBody"/>
        <w:bidi w:val="0"/>
        <w:spacing w:before="240" w:after="0"/>
        <w:jc w:val="left"/>
        <w:rPr>
          <w:rFonts w:ascii="Times New Roman" w:hAnsi="Times New Roman"/>
          <w:sz w:val="20"/>
        </w:rPr>
      </w:pPr>
      <w:r>
        <w:rPr>
          <w:rFonts w:ascii="Times New Roman" w:hAnsi="Times New Roman"/>
          <w:b/>
          <w:sz w:val="20"/>
        </w:rPr>
        <w:t>Yudong Chen</w:t>
      </w:r>
      <w:r>
        <w:rPr>
          <w:rFonts w:ascii="Times New Roman" w:hAnsi="Times New Roman"/>
          <w:sz w:val="20"/>
        </w:rPr>
        <w:t xml:space="preserve"> is an independent non-executive director of our company. Mr. Chen has been serving as an independent director of Friend Co., Ltd., a company listed on the Shanghai Stock Exchange (stock code: 605050.SH), since April 2024 and served as a director of Weifu High-Technology Group Co., Ltd., a company listed on the Shenzhen Stock Exchange (stock code: 000581.SZ), from March 2012 to May 2024. From May 2008 to December 2023, Mr. Chen successively served as the executive vice president and the president of Bosch (China) Investment Co., Ltd. Mr. Chen served as the vice president of gasoline engine system division of Bosch Group from February 2007 to May 2008. Mr. Chen served as the chief engineer of Greater China division, commercial director and general manager of the business unit of China division of Delphi Automotive Group from December 1998 to January 2006. Mr. Chen obtained his bachelor’s degree in electric motor from Chongqing University in July 1982. He also studied at University of Michigan from August 1987 to June 1991 and obtained his master’s and doctor’s degree in machinery manufacturing. Mr. Chen also obtained a master’s degree in business administration from Michigan State University in May 1998. </w:t>
      </w:r>
    </w:p>
    <w:p>
      <w:pPr>
        <w:pStyle w:val="TextBody"/>
        <w:bidi w:val="0"/>
        <w:spacing w:before="240" w:after="0"/>
        <w:jc w:val="left"/>
        <w:rPr>
          <w:rFonts w:ascii="Times New Roman" w:hAnsi="Times New Roman"/>
          <w:sz w:val="20"/>
        </w:rPr>
      </w:pPr>
      <w:r>
        <w:rPr>
          <w:rFonts w:ascii="Times New Roman" w:hAnsi="Times New Roman"/>
          <w:b/>
          <w:sz w:val="20"/>
        </w:rPr>
        <w:t xml:space="preserve">Fengying Wang </w:t>
      </w:r>
      <w:r>
        <w:rPr>
          <w:rFonts w:ascii="Times New Roman" w:hAnsi="Times New Roman"/>
          <w:sz w:val="20"/>
        </w:rPr>
        <w:t xml:space="preserve">is our president. Ms. Wang has over 30 years of experience in automotive industry. Prior to joining the Company, Ms. Wang served various positions in Great Wall Motor Company Limited, a company listed on The Stock Exchange of Hong Kong Limited (stock code: 2333.HK) and the Shanghai Stock Exchange (stock code: 601633.HK), from 1991 to 2022, including but not limited to, the vice chairman from March 2016 to March 2022, an executive director from June 2001 to March 2022 and the general manager from November 2002 to July 2022. Ms. Wang graduated from Tianjin Institute of Finance in 1999 and obtained a master’s degree in economics. </w:t>
      </w:r>
    </w:p>
    <w:p>
      <w:pPr>
        <w:pStyle w:val="TextBody"/>
        <w:bidi w:val="0"/>
        <w:spacing w:before="240" w:after="0"/>
        <w:jc w:val="left"/>
        <w:rPr>
          <w:rFonts w:ascii="Times New Roman" w:hAnsi="Times New Roman"/>
          <w:sz w:val="20"/>
        </w:rPr>
      </w:pPr>
      <w:r>
        <w:rPr>
          <w:rFonts w:ascii="Times New Roman" w:hAnsi="Times New Roman"/>
          <w:b/>
          <w:sz w:val="20"/>
        </w:rPr>
        <w:t xml:space="preserve">Hongdi Brian Gu </w:t>
      </w:r>
      <w:r>
        <w:rPr>
          <w:rFonts w:ascii="Times New Roman" w:hAnsi="Times New Roman"/>
          <w:sz w:val="20"/>
        </w:rPr>
        <w:t xml:space="preserve">is our honorary vice chairman of our board of directors and co-president. Dr. Gu currently holds directorships in other members of the Group. Prior to joining the Group, Dr. Gu worked at J.P. Morgan Chase from 2004 to 2018 and held positions including managing director and chairman of J.P. Morgan Chase Asia Pacific Investment Bank. Dr. Gu previously served as a director of Uxin Limited, a company listed on the NASDAQ (symbol: UXIN) from June 2018 to June 2019. Dr. Gu received his Ph.D. in biochemistry from the University of Washington in August 1997, his master’s degree in business administration from Yale University in May 1999, and his bachelor’s degree in chemistry from the University of Oregon in June 1993. </w:t>
      </w:r>
    </w:p>
    <w:p>
      <w:pPr>
        <w:pStyle w:val="TextBody"/>
        <w:bidi w:val="0"/>
        <w:spacing w:before="24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 xml:space="preserve">Jiaming (James) Wu </w:t>
      </w:r>
      <w:r>
        <w:rPr>
          <w:rFonts w:ascii="Times New Roman" w:hAnsi="Times New Roman"/>
          <w:sz w:val="20"/>
        </w:rPr>
        <w:t xml:space="preserve">is our vice president of finance and accounting. Prior to joining the Group, Mr. Wu served as the vice president and chief financial officer of SAIC-GM-Wuling Automotive Co., Ltd. from July 2022 to May 2023. Mr. Wu served as the vice president and chief financial officer of PT SGMW Motor Indonesia from July 2019 to June 2022. From April 2017 to June 2019, Mr. Wu worked as a finance manager at the US headquarters of General Motors Company. From July 2012 to March 2017, Mr. Wu worked as a regional finance manager at General Motors International Operations (GMIO). Mr. Wu received his master’s degree in business administration from Yale University in 2012, and his bachelor’s degree in economics from Shanghai University of International Business and Economics in 2006.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Arrangements between and with Shareholders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Investor Rights Agreement between the Volkswagen Group and us, dated July 26, 2023, we have agreed to appoint an individual nominated by the Volkswagen Group as a non-voting observer to our Board upon the closing of the Volkswagen Investment, as long as the Volkswagen Group continuously holds not less than 3% of the total issued and outstanding shares of the Company. Such observer shall be subject to obligations of non-disclosure of, and no improper use of, confidential information (including inside information) relating to our business and our insider trading policies and procedures, as if such observer is a director. If the holding of the total issued and outstanding shares of the Company by the Volkswagen Group and its affiliates reaches 5% within six months after the completion of the Volkswagen Investment and thereafter is continuously maintained, the Volkswagen Group shall be entitled to present a candidate to our nomination committee and our Board for consideration for appointment as a director. Upon approval by the nomination committee of the Board and the Board, the Company shall appoint such candidate as a Director in compliance with the memorandum and articles of association of the Company and applicable laws and regulations. As of the date of this annual report, the Volkswagen Group has appointed a non-voting observer to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B.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2025, we paid an aggregate cash compensation and benefits in kind of RMB182 million to our directors and executive officers as a group. We did not pay any other cash compensation or benefits in kind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 Our board of directors may determine compensation to be paid to the directors and the executive officers. The compensation committee will assist the directors in reviewing and approving the compensation structure for the directors and the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share awards granted to our directors and executive officers, see “—Share Incentive Plans.”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agreements with each of our executive officers. Under these agreements, our executive officers are typically employed for a specified time period. We may terminate employment for cause, at any time, without advance notice, for certain acts of the executive officer, such as conviction or plea of guilty to a felony or any crime, or serious breach of duty of loyalty to us. We may also terminate an executive officer’s employment without cause pursuant to applicable law of the jurisdiction where the executive officer is based. Executive officers typically may resign at any time with a 30-day advance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Executive officers have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business partners, or the confidential or proprietary information of any third party received by us and for which we have confidential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executive officers have agreed to be bound by non-competition and non-solicitation restrictions during the term of his or her employment and for a period of time following the last date of employment. Specifically, executive officers have agreed not to (i) represent himself or herself as being in any way, connected with or interested in our business; (ii) be engaged in, or concerned directly or indirectly in any capacity, in any business concern which is in competition with our business; (iii) contact and influence our suppliers, customers or other third parties who have business relationships with us; or (iv) seek directly or indirectly, to solicit the services of any of our employees who is employed by us on or after the date of the executive officer’s termination, or in the 12 months preceding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certain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Share Incentive Plans </w:t>
      </w:r>
    </w:p>
    <w:p>
      <w:pPr>
        <w:pStyle w:val="TextBody"/>
        <w:bidi w:val="0"/>
        <w:spacing w:before="120" w:after="0"/>
        <w:jc w:val="left"/>
        <w:rPr>
          <w:rFonts w:ascii="Times New Roman" w:hAnsi="Times New Roman"/>
          <w:b/>
          <w:sz w:val="20"/>
        </w:rPr>
      </w:pPr>
      <w:r>
        <w:rPr>
          <w:rFonts w:ascii="Times New Roman" w:hAnsi="Times New Roman"/>
          <w:b/>
          <w:sz w:val="20"/>
        </w:rPr>
        <w:t xml:space="preserve">2019 Plan </w:t>
      </w:r>
    </w:p>
    <w:p>
      <w:pPr>
        <w:pStyle w:val="TextBody"/>
        <w:bidi w:val="0"/>
        <w:spacing w:before="120" w:after="0"/>
        <w:jc w:val="left"/>
        <w:rPr>
          <w:rFonts w:ascii="Times New Roman" w:hAnsi="Times New Roman"/>
          <w:sz w:val="20"/>
        </w:rPr>
      </w:pPr>
      <w:r>
        <w:rPr>
          <w:rFonts w:ascii="Times New Roman" w:hAnsi="Times New Roman"/>
          <w:sz w:val="20"/>
        </w:rPr>
        <w:t xml:space="preserve">In June 2020, XPeng Inc. adopted a share incentive plan, which was amended and restated in August 2020 and further amended and restated in June 2021, or the 2019 Plan, which allows us to grant restricted shares, RSUs and other equity awards to our employees, directors and consultants. The maximum number of ordinary shares that may be subject to equity awards pursuant to the 2019 Plan, or the share reserve, was initially set at 161,462,100.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2019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2019 Plan is administered by the ESOP committee established by our board of directors. The administrator will determine the terms and conditions of each equity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the administrators may accelerate the vesting, purchase of equity awards from holders and provide for the assumption, conversion or replacement of equity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Unless terminated earlier, the 2019 Plan will continue in effect for a term of ten years from the date of its adoption, which is June 28, 2020.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 Agreements </w:t>
      </w:r>
    </w:p>
    <w:p>
      <w:pPr>
        <w:pStyle w:val="TextBody"/>
        <w:bidi w:val="0"/>
        <w:spacing w:before="120" w:after="0"/>
        <w:jc w:val="left"/>
        <w:rPr>
          <w:rFonts w:ascii="Times New Roman" w:hAnsi="Times New Roman"/>
          <w:sz w:val="20"/>
        </w:rPr>
      </w:pPr>
      <w:r>
        <w:rPr>
          <w:rFonts w:ascii="Times New Roman" w:hAnsi="Times New Roman"/>
          <w:sz w:val="20"/>
        </w:rPr>
        <w:t xml:space="preserve">Equity awards granted under the 2019 Plan are evidenced by award agreements that set forth the terms, conditions and limitations for each award, which must be consistent with the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Vesting Schedule </w:t>
      </w:r>
    </w:p>
    <w:p>
      <w:pPr>
        <w:pStyle w:val="TextBody"/>
        <w:bidi w:val="0"/>
        <w:spacing w:before="120" w:after="0"/>
        <w:jc w:val="left"/>
        <w:rPr>
          <w:rFonts w:ascii="Times New Roman" w:hAnsi="Times New Roman"/>
          <w:sz w:val="20"/>
        </w:rPr>
      </w:pPr>
      <w:r>
        <w:rPr>
          <w:rFonts w:ascii="Times New Roman" w:hAnsi="Times New Roman"/>
          <w:sz w:val="20"/>
        </w:rPr>
        <w:t xml:space="preserve">The vesting schedule of each equity award granted under the 2019 Plan will be set forth in the award agreement for such equity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2019 Plan may at any time be amended or terminated with the approval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2025 Scheme </w:t>
      </w:r>
    </w:p>
    <w:p>
      <w:pPr>
        <w:pStyle w:val="TextBody"/>
        <w:bidi w:val="0"/>
        <w:spacing w:before="120" w:after="0"/>
        <w:jc w:val="left"/>
        <w:rPr>
          <w:rFonts w:ascii="Times New Roman" w:hAnsi="Times New Roman"/>
          <w:sz w:val="20"/>
        </w:rPr>
      </w:pPr>
      <w:r>
        <w:rPr>
          <w:rFonts w:ascii="Times New Roman" w:hAnsi="Times New Roman"/>
          <w:sz w:val="20"/>
        </w:rPr>
        <w:t xml:space="preserve">In March 2025, our board of directors further adopted an additional share incentive scheme, or the 2025 Scheme. The 2025 Scheme was approved by the shareholders at the annual general meeting of the Company on June 27, 2025. The total number of Class A ordinary shares which may be issued in respect of all awards to be granted under the 2025 Scheme and any other share schemes or plans of the Company, shall not in aggregate exceed 10% of the total number of ordinary shares in issue as at the date on which the 2025 Scheme is approved by the shareholders. The purpose of the 2025 Scheme is to reward eligible participants who have contributed or will contribute to the Group, and to encourage eligible participants to work towards enhancing the value of the Company and its shares for the benefit of the Company and shareholders as a whole.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effectiveness of the 2025 Scheme on June 27, 2025, the 2019 Plan was discontinued so that no further grant will be made under the 2019 Plan. However, all RSUs granted under the 2019 Plan before the effectiveness of the 2025 Scheme remain valid and are able to be vested, lapsed and cancelled pursuant to the terms and conditions of the 2019 Plan.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2025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2025 Scheme is administered by the ESOP committee established by our board of directors. The administrator will determine the terms and conditions of each equity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Duration </w:t>
      </w:r>
    </w:p>
    <w:p>
      <w:pPr>
        <w:pStyle w:val="TextBody"/>
        <w:bidi w:val="0"/>
        <w:spacing w:before="120" w:after="0"/>
        <w:jc w:val="left"/>
        <w:rPr>
          <w:rFonts w:ascii="Times New Roman" w:hAnsi="Times New Roman"/>
          <w:sz w:val="20"/>
        </w:rPr>
      </w:pPr>
      <w:r>
        <w:rPr>
          <w:rFonts w:ascii="Times New Roman" w:hAnsi="Times New Roman"/>
          <w:sz w:val="20"/>
        </w:rPr>
        <w:t xml:space="preserve">Unless terminated earlier, the 2025 Scheme will be valid and effective for a period of ten years from the date of its adoption, which is June 27,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Scheme Mandate Limit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approved by the shareholders in accordance with the 2025 Scheme, the total number of Class A ordinary shares which may be issued in respect of all awards to be granted under the 2025 Scheme and any other share schemes or plans of the Company must not in aggregate exceed 10% of the total number of Shares of the Company (including the Class A ordinary shares and Class B ordinary shares) in issue (excluding treasury shares) as at the adoption date of the 2025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the board of directors or its delegate(s) may accelerate the vesting, purchase awards from holders or provide for the assumption, conversion or replacement of awards, on such terms and conditions as the board of directors or its delegate(s) determines to be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 Agreements </w:t>
      </w:r>
    </w:p>
    <w:p>
      <w:pPr>
        <w:pStyle w:val="TextBody"/>
        <w:bidi w:val="0"/>
        <w:spacing w:before="120" w:after="0"/>
        <w:jc w:val="left"/>
        <w:rPr>
          <w:rFonts w:ascii="Times New Roman" w:hAnsi="Times New Roman"/>
          <w:sz w:val="20"/>
        </w:rPr>
      </w:pPr>
      <w:r>
        <w:rPr>
          <w:rFonts w:ascii="Times New Roman" w:hAnsi="Times New Roman"/>
          <w:sz w:val="20"/>
        </w:rPr>
        <w:t xml:space="preserve">Awards granted under the 2025 Scheme are evidenced by award agreements that set forth the terms, conditions and limitations for each award, which must be consistent with the 2025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Vesting Schedule </w:t>
      </w:r>
    </w:p>
    <w:p>
      <w:pPr>
        <w:pStyle w:val="TextBody"/>
        <w:bidi w:val="0"/>
        <w:spacing w:before="120" w:after="0"/>
        <w:jc w:val="left"/>
        <w:rPr>
          <w:rFonts w:ascii="Times New Roman" w:hAnsi="Times New Roman"/>
          <w:sz w:val="20"/>
        </w:rPr>
      </w:pPr>
      <w:r>
        <w:rPr>
          <w:rFonts w:ascii="Times New Roman" w:hAnsi="Times New Roman"/>
          <w:sz w:val="20"/>
        </w:rPr>
        <w:t xml:space="preserve">The vesting schedule of each award granted under the 2025 Scheme will be set forth in the award agreement for such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Mechanism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right to recover the amount of any erroneously awarded award, vested or unvested, settled or unsettled, delivered or undelivered, in accordance with our policy regarding the recovery of erroneously awarded incentive-based compensation, as amended from time to time, and in the following circumstances in accordance with the 2025 Scheme: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or its delegate(s) have the right to (i) forfeit any unvested award granted to a grantee and (ii) cause any vested but not yet exercised and/or settled award to lapse immediately, in the event of: (a) any cause of a grantee; (b) any violation of a grantee to obligations of confidentiality or non-competition, or any leakage by such grantee of our trade secrets, intellectual property or proprietary information within a specified period after such grantee ceasing to be an eligible participant; (c) any conduct of a grantee that has materially adverse effect to the reputation or interests of any member of the Group within a specified period after such grantee ceasing to be an eligible participant; or (d) in respect of any award which is performance linked, any material misstatement in our audited financial statements that requires a restatement, or any circumstances indicating the prescribed performance targets were assessed or calculated in a materially inaccurate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have the right to (i) require such grantee to surrender some or all of the Class A ordinary shares (including in the form of ADSs) underlying the awards which have been issued to the grantee or the grantee’s transferee for no consideration or (ii) require such grantee to pay the Company in cash or other property in lieu of the Class A ordinary shares (including in the form of ADSs) underlying the awards which the grantee has received from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and other terms and conditions under the 2025 Scheme, our board of directors may alter the terms of the 2025 Scheme to benefit the administration of such scheme. In addition, shareholders’ approval is required for any alterations to the terms and conditions of the 2025 Scheme which are of a material nature, any alterations relating to the advantage of grantees or eligible participants, or any changes to the authority of our directors, the board of directors or its delegate(s) in connection with any alteration of the terms of the 2025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in general meeting by ordinary resolution or our board of directors may at any time terminate the 2025 Scheme. </w:t>
      </w:r>
    </w:p>
    <w:p>
      <w:pPr>
        <w:pStyle w:val="TextBody"/>
        <w:bidi w:val="0"/>
        <w:spacing w:before="360" w:after="0"/>
        <w:jc w:val="left"/>
        <w:rPr>
          <w:rFonts w:ascii="Times New Roman" w:hAnsi="Times New Roman"/>
          <w:b/>
          <w:sz w:val="20"/>
        </w:rPr>
      </w:pPr>
      <w:r>
        <w:rPr>
          <w:rFonts w:ascii="Times New Roman" w:hAnsi="Times New Roman"/>
          <w:b/>
          <w:sz w:val="20"/>
        </w:rPr>
        <w:t xml:space="preserve">RSU Grants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RSUs which represent 52,893,817 underlying Class A ordinary shares were outstanding (which do not include the Class A ordinary shares underlying the vested RSUs), and 18,144 shares underlying such RSUs were held by XPeng Fortune Holdings Limited, which has been established for our share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outstanding RSUs granted to our directors and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5"/>
        <w:gridCol w:w="120"/>
        <w:gridCol w:w="5659"/>
        <w:gridCol w:w="120"/>
        <w:gridCol w:w="1100"/>
        <w:gridCol w:w="120"/>
        <w:gridCol w:w="1341"/>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6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Ordinary</w:t>
              <w:br/>
              <w:t>Shares</w:t>
              <w:br/>
              <w:t>Underlying</w:t>
              <w:br/>
              <w:t>Outstanding</w:t>
              <w:br/>
              <w:t>RSUs granted</w:t>
            </w:r>
          </w:p>
        </w:tc>
        <w:tc>
          <w:tcPr>
            <w:tcW w:w="120" w:type="dxa"/>
            <w:tcBorders/>
            <w:vAlign w:val="center"/>
          </w:tcPr>
          <w:p>
            <w:pPr>
              <w:pStyle w:val="TableContents"/>
              <w:bidi w:val="0"/>
              <w:spacing w:before="0" w:after="283"/>
              <w:jc w:val="left"/>
              <w:rPr/>
            </w:pPr>
            <w:r>
              <w:rPr/>
              <w:t>  </w:t>
            </w:r>
          </w:p>
        </w:tc>
        <w:tc>
          <w:tcPr>
            <w:tcW w:w="13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Grant Date</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5779"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Fengying Wang</w:t>
            </w:r>
          </w:p>
        </w:tc>
        <w:tc>
          <w:tcPr>
            <w:tcW w:w="120" w:type="dxa"/>
            <w:tcBorders/>
            <w:vAlign w:val="center"/>
          </w:tcPr>
          <w:p>
            <w:pPr>
              <w:pStyle w:val="TableContents"/>
              <w:bidi w:val="0"/>
              <w:spacing w:before="0" w:after="283"/>
              <w:jc w:val="left"/>
              <w:rPr/>
            </w:pPr>
            <w:r>
              <w:rPr/>
              <w:t>  </w:t>
            </w:r>
          </w:p>
        </w:tc>
        <w:tc>
          <w:tcPr>
            <w:tcW w:w="5659" w:type="dxa"/>
            <w:tcBorders/>
            <w:vAlign w:val="center"/>
          </w:tcPr>
          <w:p>
            <w:pPr>
              <w:pStyle w:val="TableContents"/>
              <w:bidi w:val="0"/>
              <w:spacing w:before="0" w:after="283"/>
              <w:jc w:val="left"/>
              <w:rPr/>
            </w:pPr>
            <w:r>
              <w:rPr/>
              <w:t>President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center"/>
              <w:rPr/>
            </w:pPr>
            <w:r>
              <w:rPr/>
              <w:t>March 2023</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5779"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Hongdi Brian Gu</w:t>
            </w:r>
          </w:p>
        </w:tc>
        <w:tc>
          <w:tcPr>
            <w:tcW w:w="120" w:type="dxa"/>
            <w:tcBorders/>
            <w:vAlign w:val="center"/>
          </w:tcPr>
          <w:p>
            <w:pPr>
              <w:pStyle w:val="TableContents"/>
              <w:bidi w:val="0"/>
              <w:spacing w:before="0" w:after="283"/>
              <w:jc w:val="left"/>
              <w:rPr/>
            </w:pPr>
            <w:r>
              <w:rPr/>
              <w:t>  </w:t>
            </w:r>
          </w:p>
        </w:tc>
        <w:tc>
          <w:tcPr>
            <w:tcW w:w="5659" w:type="dxa"/>
            <w:tcBorders/>
            <w:vAlign w:val="center"/>
          </w:tcPr>
          <w:p>
            <w:pPr>
              <w:pStyle w:val="TableContents"/>
              <w:bidi w:val="0"/>
              <w:spacing w:before="0" w:after="283"/>
              <w:jc w:val="left"/>
              <w:rPr/>
            </w:pPr>
            <w:r>
              <w:rPr/>
              <w:t>Honorary Vice Chairman of the Board and Co-President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center"/>
              <w:rPr/>
            </w:pPr>
            <w:r>
              <w:rPr/>
              <w:t>October 2025</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5779"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Jiaming (James) Wu</w:t>
            </w:r>
          </w:p>
        </w:tc>
        <w:tc>
          <w:tcPr>
            <w:tcW w:w="120" w:type="dxa"/>
            <w:tcBorders/>
            <w:vAlign w:val="center"/>
          </w:tcPr>
          <w:p>
            <w:pPr>
              <w:pStyle w:val="TableContents"/>
              <w:bidi w:val="0"/>
              <w:spacing w:before="0" w:after="283"/>
              <w:jc w:val="left"/>
              <w:rPr/>
            </w:pPr>
            <w:r>
              <w:rPr/>
              <w:t>  </w:t>
            </w:r>
          </w:p>
        </w:tc>
        <w:tc>
          <w:tcPr>
            <w:tcW w:w="5659" w:type="dxa"/>
            <w:tcBorders/>
            <w:vAlign w:val="center"/>
          </w:tcPr>
          <w:p>
            <w:pPr>
              <w:pStyle w:val="TableContents"/>
              <w:bidi w:val="0"/>
              <w:spacing w:before="0" w:after="283"/>
              <w:jc w:val="left"/>
              <w:rPr/>
            </w:pPr>
            <w:r>
              <w:rPr/>
              <w:t>Vice President of Finance and Accounting</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center"/>
              <w:rPr/>
            </w:pPr>
            <w:r>
              <w:rPr/>
              <w:t>July 2023</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5779"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Donghao Yang</w:t>
            </w:r>
          </w:p>
        </w:tc>
        <w:tc>
          <w:tcPr>
            <w:tcW w:w="120" w:type="dxa"/>
            <w:tcBorders/>
            <w:vAlign w:val="center"/>
          </w:tcPr>
          <w:p>
            <w:pPr>
              <w:pStyle w:val="TableContents"/>
              <w:bidi w:val="0"/>
              <w:spacing w:before="0" w:after="283"/>
              <w:jc w:val="left"/>
              <w:rPr/>
            </w:pPr>
            <w:r>
              <w:rPr/>
              <w:t>  </w:t>
            </w:r>
          </w:p>
        </w:tc>
        <w:tc>
          <w:tcPr>
            <w:tcW w:w="5659" w:type="dxa"/>
            <w:tcBorders/>
            <w:vAlign w:val="center"/>
          </w:tcPr>
          <w:p>
            <w:pPr>
              <w:pStyle w:val="TableContents"/>
              <w:bidi w:val="0"/>
              <w:spacing w:before="0" w:after="283"/>
              <w:jc w:val="left"/>
              <w:rPr/>
            </w:pPr>
            <w:r>
              <w:rPr/>
              <w:t>Independent Non-executive Director</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center"/>
              <w:rPr/>
            </w:pPr>
            <w:r>
              <w:rPr/>
              <w:t>July 2024</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5779"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Xiaopeng He(1)</w:t>
            </w:r>
          </w:p>
        </w:tc>
        <w:tc>
          <w:tcPr>
            <w:tcW w:w="120" w:type="dxa"/>
            <w:tcBorders/>
            <w:vAlign w:val="center"/>
          </w:tcPr>
          <w:p>
            <w:pPr>
              <w:pStyle w:val="TableContents"/>
              <w:bidi w:val="0"/>
              <w:spacing w:before="0" w:after="283"/>
              <w:jc w:val="left"/>
              <w:rPr/>
            </w:pPr>
            <w:r>
              <w:rPr/>
              <w:t>  </w:t>
            </w:r>
          </w:p>
        </w:tc>
        <w:tc>
          <w:tcPr>
            <w:tcW w:w="5659" w:type="dxa"/>
            <w:tcBorders/>
            <w:vAlign w:val="center"/>
          </w:tcPr>
          <w:p>
            <w:pPr>
              <w:pStyle w:val="TableContents"/>
              <w:bidi w:val="0"/>
              <w:spacing w:before="0" w:after="283"/>
              <w:jc w:val="left"/>
              <w:rPr/>
            </w:pPr>
            <w:r>
              <w:rPr/>
              <w:t>Co-founder, Chairman, Executive Director and Chief Executive Officer</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28,506,786</w:t>
            </w:r>
          </w:p>
        </w:tc>
        <w:tc>
          <w:tcPr>
            <w:tcW w:w="120" w:type="dxa"/>
            <w:tcBorders/>
            <w:vAlign w:val="center"/>
          </w:tcPr>
          <w:p>
            <w:pPr>
              <w:pStyle w:val="TableContents"/>
              <w:bidi w:val="0"/>
              <w:spacing w:before="0" w:after="283"/>
              <w:jc w:val="left"/>
              <w:rPr/>
            </w:pPr>
            <w:r>
              <w:rPr/>
              <w:t>  </w:t>
            </w:r>
          </w:p>
        </w:tc>
        <w:tc>
          <w:tcPr>
            <w:tcW w:w="1341" w:type="dxa"/>
            <w:tcBorders/>
            <w:vAlign w:val="center"/>
          </w:tcPr>
          <w:p>
            <w:pPr>
              <w:pStyle w:val="TableContents"/>
              <w:bidi w:val="0"/>
              <w:spacing w:before="0" w:after="283"/>
              <w:jc w:val="center"/>
              <w:rPr/>
            </w:pPr>
            <w:r>
              <w:rPr/>
              <w:t>March 2025</w:t>
            </w:r>
          </w:p>
        </w:tc>
      </w:tr>
    </w:tbl>
    <w:p>
      <w:pPr>
        <w:pStyle w:val="TextBody"/>
        <w:bidi w:val="0"/>
        <w:spacing w:lineRule="atLeast" w:line="160" w:before="0" w:after="40"/>
        <w:jc w:val="left"/>
        <w:rPr>
          <w:bdr w:val="single" w:sz="2" w:space="1" w:color="000000"/>
        </w:rPr>
      </w:pPr>
      <w:r>
        <w:rPr>
          <w:bdr w:val="single" w:sz="2" w:space="1" w:color="000000"/>
        </w:rPr>
        <w:t> </w:t>
      </w:r>
    </w:p>
    <w:tbl>
      <w:tblPr>
        <w:tblW w:w="3445" w:type="dxa"/>
        <w:jc w:val="left"/>
        <w:tblInd w:w="0" w:type="dxa"/>
        <w:tblLayout w:type="fixed"/>
        <w:tblCellMar>
          <w:top w:w="0" w:type="dxa"/>
          <w:left w:w="0" w:type="dxa"/>
          <w:bottom w:w="0" w:type="dxa"/>
          <w:right w:w="0" w:type="dxa"/>
        </w:tblCellMar>
      </w:tblPr>
      <w:tblGrid>
        <w:gridCol w:w="155"/>
        <w:gridCol w:w="3290"/>
      </w:tblGrid>
      <w:tr>
        <w:trPr/>
        <w:tc>
          <w:tcPr>
            <w:tcW w:w="15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of our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June 2025, the annual general meeting approved our board of directors’ grant of 28,506,786 RSUs (each RSU represent equal number of the underlying Class A ordinary share) to Mr. He under 2025 Scheme (the “2025 CEO Award”). The 2025 CEO Award consists of three vesting tranches, 9,502,262 RSUs per tranche, with a vesting schedule based entirely on the attainment of market conditions, assuming continued employment through each vesting date. Each of the three vesting tranches of the 2025 CEO Award will vest upon the arithmetic average closing price of the shares as stated in the Hong Kong Stock Exchange’s daily quotations sheet for any 30 consecutive business days first reaches or exceeds HK$250, HK$500 and HK$750. The 2025 CEO Award shall vest after the 12 months vesting period, upon satisfaction of certain performance targets.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 Board Practices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six directors, including one executive director, one non-executive director and four independent non-executive directors. Under our current memorandum and articles of association, a director is not required to hold any shares in our company to qualify to serve as a director. A director may vote with respect to any contract or any proposed contract or arrangement in which he is interested, and if he does so his vote shall be counted and he may be counted in the quorum at any meeting of our directors at which any such contract or proposed contract or arrangement is considered, provided (a) such director has declared the nature of his interest at the meeting of the board at which the question of entering into the contract or arrangement is first considered if he knows his interest then exists, or in any other case at the first meeting of the board after he knows he is or has become so interested, either specifically or by way of a general notice and (b)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Our non-executive director does not have a service contract with us that provides for benefits upon termination of service. Subject to such exceptions specified in the articles of association of our company, a director shall not vote on any board resolution approving any contract or arrangement or any other proposal in which he or any of his close associates has a material interest nor shall he be counted in the quorum present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our directors have a fiduciary duty to act honestly in good faith with a view to our best interests. Our directors also have a duty to exercise the care, diligence and skill that a reasonably prudent person would exercise in comparable circumstances. In fulfilling their duty of care to us, our directors must ensure compliance with our memorandum and articles of association, as amended and restated from time to time. A shareholder has the right to seek damages if a duty owed by our directors is breached. </w:t>
      </w:r>
    </w:p>
    <w:p>
      <w:pPr>
        <w:pStyle w:val="TextBody"/>
        <w:bidi w:val="0"/>
        <w:spacing w:before="240" w:after="0"/>
        <w:jc w:val="left"/>
        <w:rPr>
          <w:rFonts w:ascii="Times New Roman" w:hAnsi="Times New Roman"/>
          <w:sz w:val="20"/>
        </w:rPr>
      </w:pPr>
      <w:r>
        <w:rPr>
          <w:rFonts w:ascii="Times New Roman" w:hAnsi="Times New Roman"/>
          <w:sz w:val="20"/>
        </w:rPr>
        <w:t xml:space="preserve">The functions and powers of our board of directors include, among others: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and managing the business of our company;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representing our company in contracts and deals;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attorneys for our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 senior management such as managing directors and executive directors;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employee benefits and pension;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our company’s finance and bank accounts;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exercising the borrowing powers of our company and mortgaging the property of our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other powers conferred by the shareholders meetings or under our memorandum and articles of association, as amended and restated from time to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may be elected by an ordinary resolution of our shareholders, pursuant to our current memorandum and articles of association. Each of our directors will hold office until his or her successor takes office or until his or her earlier death, resignation or removal or the expiration of his or her term as provided in the written agreement with our company, if any. A director will cease to be a director if, among other things, the director (i) dies, or becomes bankrupt or makes any arrangement or composition with his creditors; (ii) is found to be or becomes of unsound mind, (iii) resigns his office by notice in writing to us, or (iv) without special leave of absence from our board, is absent from three consecutive board meetings and our directors resolve that his office be vacated. Our officers are elected by and serve at the discretion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 nomination committee and a corporate governance committee. We have adopted a charter for each of the committees. Each committee’s members and functions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Mr. Donghao Yang, Dr. HongJiang Zhang and Mr. Ji-Xun Foo. Mr. Donghao Yang is the chairperson of our audit committee. Mr. Donghao Yang satisfies the criteria of an audit committee financial expert as set forth under the applicable rules of the SEC. Each of Mr. Donghao Yang, Dr. HongJiang Zhang and Mr. Ji-Xun Foo meets the criteria for independence set forth in Rule 10A-3 of the United States Securities Exchange Act of 1934, as amended, or the Exchange Act; each of Mr. Donghao Yang and Dr. HongJiang Zhang satisfies the requirements for an “independent director” within the meaning of Section 303A.02 of the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accounting and financial reporting processes and the audits of our financial statements. Our audit committee is responsible for, among other things: </w:t>
      </w:r>
    </w:p>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the independent auditor;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auditing and non-auditing services permitted to be performed by the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clear hiring policies for employees and former employees of the independent auditors;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 any audit problems or difficulties and management’s response;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if material, approving all related party transactions on an ongoing basis;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the annual audited financial statements with management and the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auditors major issues regarding accounting principles and financial statement presentations;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reports prepared by management or the independent auditors relating to significant financial reporting issues and judgments;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earnings press releases with management, as well as financial information and earnings guidance provided to analysts and rating agencies;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auditors the effect of regulatory and accounting initiatives, as well as off-balance sheet structures, on our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policies with respect to risk assessment and risk management with management, internal auditors and the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reviewing reports from the independent auditor regarding all critical accounting policies and practices to be used by our company, all alternative treatments of financial information within U.S. GAAP that have been discussed with management and all other material written communications between the independent auditor and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reassessing the adequacy of our audit committee charter;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delegated to our audit committee by our board of directors from time to time;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separately, periodically, with management, internal auditors and the independent auditor; and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reporting regularly to the full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Mr. Xiaopeng He, Ms. Fang Qu and Dr. HongJiang Zhang. The chairperson of our compensation committee is Ms. Fang Qu. Each of Ms. Fang Qu and Dr. HongJiang Zhang satisfies the requirements for an “independent director” within the meaning of Section 303A of the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if necessary, revising our overall compensation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the performance of our directors and senior officers and determining the compensation of our senior officers;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our senior officers’ employment agreements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performance targets for our senior officers with respect to our incentive compensation plan and equity-based compensation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delegated to the remuneration committee by our board of directors from time to time.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nomination committee consists of Mr. Xiaopeng He, Ms. Fang Qu and Dr. HongJiang Zhang. The chairperson of the nomination committee is Dr. HongJiang Zhang. Each of Ms. Fang Qu and Dr. HongJiang Zhang satisfies the requirements for an “independent director” within the meaning of Section 303A of the NYSE Listed Company Manual. The primary duties of the nomination committee are, among other things, to make recommendations to the board regarding the appointment of directors and board succession.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committee consists of Mr. Donghao Yang, Ms. Fang Qu and Dr. HongJiang Zhang. The chairperson of the corporate governance committee is Mr. Donghao Yang. Each of Mr. Donghao Yang, Ms. Fang Qu and Dr. HongJiang Zhang satisfies the requirements for an “independent director” within the meaning of Section 303A of the NYSE Listed Company Manual.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reviewing our company’s policies and practices on corporate governance and make recommendations to the board;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the training and continuous professional development of directors and senior management;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our company’s policies and practices on compliance with legal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reviewing and monitoring the code of conduct and compliance manual (if any) applicable to employees and directors;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company’s compliance with certain Hong Kong Listing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whether our company is operated and managed for the benefit of all of its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the management of conflicts of interests and make a recommendation to the board on any matter where there is a potential conflict of interest;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all risks related to our multiple class voting structure;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Reporting on the work of the corporate governance committee on at least a half-yearly and annual basis covering all areas of its terms of reference.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 Employees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E. Share Ownership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as of March 31, 2026, to our knowledge, with respect to the beneficial ownership of our ordinary shares by: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executive officers; and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5.0% or more of our Class A ordinary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we have included shares that the person has the right to acquire within 60 days, including through the exercise of any option or other right or the conversion of any other security. However, these shares are not included in the computation of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total number of ordinary shares outstanding was 1,911,658,601, comprising 1,562,950,344 Class A ordinary shares and 348,708,257 Class B ordinary shares, excluding 2,195,880 Class A ordinary shares issued to our depositary bank for bulk issuance of ADSs and reserved for future issuance upon the exercise or vesting of awards granted under our 2019 Plan and 2025 Scheme.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0"/>
        <w:gridCol w:w="120"/>
        <w:gridCol w:w="60"/>
        <w:gridCol w:w="1220"/>
        <w:gridCol w:w="60"/>
        <w:gridCol w:w="120"/>
        <w:gridCol w:w="221"/>
        <w:gridCol w:w="1179"/>
        <w:gridCol w:w="275"/>
        <w:gridCol w:w="60"/>
        <w:gridCol w:w="60"/>
        <w:gridCol w:w="1220"/>
        <w:gridCol w:w="60"/>
        <w:gridCol w:w="120"/>
        <w:gridCol w:w="137"/>
        <w:gridCol w:w="1008"/>
        <w:gridCol w:w="275"/>
        <w:gridCol w:w="60"/>
        <w:gridCol w:w="168"/>
        <w:gridCol w:w="1232"/>
        <w:gridCol w:w="290"/>
      </w:tblGrid>
      <w:tr>
        <w:trPr/>
        <w:tc>
          <w:tcPr>
            <w:tcW w:w="2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Ordinary Shares Beneficially Owned</w:t>
            </w:r>
          </w:p>
        </w:tc>
        <w:tc>
          <w:tcPr>
            <w:tcW w:w="290" w:type="dxa"/>
            <w:tcBorders/>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total</w:t>
              <w:br/>
              <w:t>Class A</w:t>
              <w:br/>
              <w:t>ordinary</w:t>
              <w:br/>
              <w:t>shares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w:t>
              <w:br/>
              <w:t>total</w:t>
              <w:br/>
              <w:t>ordinary</w:t>
              <w:br/>
              <w:t>shares†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aggregate</w:t>
              <w:br/>
              <w:t>voting</w:t>
              <w:br/>
              <w:t>power††</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Xiaopeng He(1)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11,339,844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348,708,257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69.3</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Ji-Xun Foo(2)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Donghao Yang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Fang Qu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HongJiang Zhang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Yudong Chen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Fengying Wang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Hongdi Brian Gu(3)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37,155,185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Jiaming (James) Wu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81,116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50,246,767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348,708,257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70.0</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Simplicity and Respect entities(4)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10,339,844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348,708,257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69.3</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JPMorgan Chase &amp; Co.(5)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109,384,580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2.2</w:t>
            </w:r>
          </w:p>
        </w:tc>
        <w:tc>
          <w:tcPr>
            <w:tcW w:w="290" w:type="dxa"/>
            <w:tcBorders/>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Volkswagen Group(6)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94,079,255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83,600,181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1.7</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person and group included in this column, percentage ownership is calculated by dividing the number of ordinary shares beneficially owned by such person or group, including shares that such person or group has the right to acquire within 60 days after March 31, 2026, by the sum of (i) the total number of ordinary shares issued and outstanding as of March 31, 2026, and (ii) the number of ordinary shares that such person or group has the right to acquire beneficial ownership within 60 days after March 31, 2026.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person and group included in this column, percentage of voting power is calculated by dividing the voting power beneficially owned by such person or group by the voting power of all of our Class A and Class B ordinary shares as a single class. In respect of matters requiring a shareholder vote, each Class A ordinary share is entitled to one vote and each Class B ordinary share is entitled to 10 votes. Each Class B ordinary share is convertible into one Class A ordinary share at any time by the holder thereof. Class A ordinary shares are not convertible into Class B ordinary shares under any circumstances.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for our directors and executive officers is No.10, Cencun Fengzhuang Avenue, Tianhe District, Guangzhou, Guangdong 510640, People’s Republic of China.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4,400,000 Class A ordinary shares represented by ADSs and 327,708,257 Class B ordinary shares held by Simplicity Holding Limited, (ii) 21,000,000 Class B ordinary shares held by Respect Holding Limited, (iii) 2,839,844 Class A ordinary shares represented by ADSs and 3,100,000 Class A ordinary shares held by Galaxy Dynasty Limited, and (iv) 1,000,000 Class A ordinary shares held directly by Mr. He. Simplicity Holding Limited, Respect Holding Limited and Galaxy Dynasty Limited are further described in footnote 4 below. In addition, we have conditionally granted a total of 28,506,786 RSUs under the 2025 Scheme to Mr. He (the “Proposed Grant”), which shall vest after 12 months vesting period upon satisfaction of certain performance targets, according to the Form 3 filed by Mr. Xiaopeng He on March 18, 2026.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According to the Form 3 filed by Mr. Ji-Xun Foo on March 18, 2026, he is a director of GGV (Xpeng) Limited and may be deemed to have shared voting and dispositive power over 3,997,555 Class A ordinary shares held by GGV (Xpeng) Limited. However, Mr. Ji-Xun Foo disclaims beneficial ownership of these shares, except to the extent of his proportionate pecuniary interest therein.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5,000,000 Class A ordinary shares held by Hongdi Brian Gu, and (ii) 32,155,185 Class A ordinary shares held by Quack Holding Limited, according to the Form 3 filed by Mr. Hongdi Brian Gu on March 18, 2026. Quack Holding Limited is a limited liability company incorporated under the laws of the British Virgin Islands with its registered office at Craigmuir Chambers, Road Town, Tortola VG 1110, British Virgin Islands. Quack Holding Limited is wholly-owned by Mr. Hongdi Brian Gu, who is deemed to be the beneficial owner of the shares held by Quack Holding Limited.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4,400,000 Class A ordinary shares represented by ADSs and 327,708,257 Class B ordinary shares held by Simplicity Holding Limited, (ii) 21,000,000 Class B ordinary shares held by Respect Holding Limited, and (iii) 2,839,844 Class A ordinary shares represented by ADSs and 3,100,000 Class A ordinary shares held by Galaxy Dynasty Limited. Simplicity Holding Limited is a limited liability company incorporated under the laws of the British Virgin Islands with its registered office at the office of Vistra Corporate Services Centre, Wickhams Cay II, Road Town, Tortola, VG 1110, British Virgin Islands, according to the Form 3 filed by Mr. Xiaopeng He on March 18, 2026. Simplicity Holding Limited is wholly-owned by Mr. Xiaopeng He, who is deemed to be the beneficial owner of the shares held by Simplicity Holding Limited. Respect Holding Limited is a limited liability company incorporated under the laws of the British Virgin Islands with its registered office at the office of Vistra Corporate Services Centre, Wickhams Cay II, Road Town, Tortola VG 1110, British Virgin Islands. Respect Holding Limited is wholly-owned by Mr. Xiaopeng He, who is deemed to be the beneficial owner of the shares held by Respect Holding Limited. Galaxy Dynasty Limited is a limited liability company incorporated under the laws of the British Virgin Islands with its registered office at the office of Vistra Corporate Services Centre, Wickhams Cay II, Road Town, Tortola VG 1110, British Virgin Islands. Galaxy Dynasty Limited is wholly-owned by Mr. He, who is deemed to be the beneficial owner of the shares held by Galaxy Dynasty Limited. Simplicity Holding Limited, Respect Holding Limited and Galaxy Dynasty Limited are collectively referred to as Simplicity and Respect entities.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109,384,580 Class A ordinary shares in which JPMorgan Chase &amp; Co. held long position for the purpose of the Securities and Futures Ordinance (Chapter 571 of the Laws of Hong Kong) (the “SFO”) through a series of controlled entities, certain of which are subject to cash settled or physically settled derivatives, and on the other hand, JPMorgan Chase &amp; Co. held short position for the purpose of the SFO in 87,706,080 Class A ordinary shares, certain of which are subject to cash settled or physically settled derivatives, and also held lending pool for the purpose of the SFO in 26,534,937 Class A ordinary shares through certain controlled entities, according to the notice of Disclosure of Interest filed on March 27,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94,079,255 Class A ordinary shares held by Volkswagen Nominee. Volkswagen Nominee is a company incorporated under the laws of Luxembourg, with its principal business office at 19/21 route d’Arlon, Block B, L - 8009 Strassen, Luxembourg, according to the statement on Schedule 13G filed on December 8, 2023. Volkswagen Nominee is a wholly-owned subsidiary of Volkswagen AG, which is deemed to be the beneficial owner of the shares held by Volkswagen Nominee. Volkswagen AG is, a company incorporated under the laws of Germany with limited liability with its principal business office at Berliner Ring 2, 38440, Wolfsburg, Germany, and a public company listed on Frankfurt Stock Exchange in Germany.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(7)</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83,600,181 Class A ordinary shares in which Blackrock Inc. held long position for the purpose of the SFO through a series of controlled entities, certain of which are subject to cash settled unlisted derivatives, and on the other hand, Blackrock Inc. also held short position for the purpose of the SFO in 1,703,040 Class A ordinary shares through certain controlled entities, certain of which are subject to cash settled unlisted derivatives, according to the notice of Disclosure of Interest filed on March 27,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as of March 31, 2026, a total of 430,369,056 Class A ordinary shares (representing approximately 27.5% of our total outstanding Class A ordinary shares) was held by Citibank, N.A., the depositary for our ADS program, via its Hong Kong nominees for the benefit of the holders and beneficial owners of our ADSs. Twelve record holders in the United States held a de minimis number of our Class A ordinary shares. The number of beneficial owners of our ADSs in the United States is likely to be much larger than the number of record holders of our Class A ordinary shares in the United States. We are not aware of any arrangement that may, at a subsequent date, result in a change of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 Disclosure of a Registrant’s Action to Recover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905"/>
        <w:gridCol w:w="6140"/>
      </w:tblGrid>
      <w:tr>
        <w:trPr/>
        <w:tc>
          <w:tcPr>
            <w:tcW w:w="905" w:type="dxa"/>
            <w:tcBorders/>
            <w:vAlign w:val="center"/>
          </w:tcPr>
          <w:p>
            <w:pPr>
              <w:pStyle w:val="TableContents"/>
              <w:bidi w:val="0"/>
              <w:spacing w:before="0" w:after="283"/>
              <w:jc w:val="left"/>
              <w:rPr>
                <w:b/>
              </w:rPr>
            </w:pPr>
            <w:bookmarkStart w:id="11" w:name="rom36361_9"/>
            <w:bookmarkEnd w:id="11"/>
            <w:r>
              <w:rPr>
                <w:b/>
              </w:rPr>
              <w:t>ITEM 7.</w:t>
            </w:r>
          </w:p>
        </w:tc>
        <w:tc>
          <w:tcPr>
            <w:tcW w:w="6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MAJOR SHAREHOLDERS AND RELATED PARTY TRANSACTIONS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Major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 — E. Share Ownership.” </w:t>
      </w:r>
    </w:p>
    <w:p>
      <w:pPr>
        <w:pStyle w:val="TextBody"/>
        <w:bidi w:val="0"/>
        <w:spacing w:before="360" w:after="0"/>
        <w:jc w:val="left"/>
        <w:rPr>
          <w:rFonts w:ascii="Times New Roman" w:hAnsi="Times New Roman"/>
          <w:b/>
          <w:sz w:val="20"/>
        </w:rPr>
      </w:pPr>
      <w:r>
        <w:rPr>
          <w:rFonts w:ascii="Times New Roman" w:hAnsi="Times New Roman"/>
          <w:b/>
          <w:sz w:val="20"/>
        </w:rPr>
        <w:t xml:space="preserve">B.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with Xiaopeng He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amounts due from Mr. He represent receivables for operation support service and sales of goods amounting to RMB12.6 million and RMB0.4 million, respectively, to the companies significantly influenced by Mr. He. As of December 31, 2024, amounts due from the companies significantly influenced by Mr. He represent receivables for operation support service and sales of goods amounting to RMB41.9 million and RMB1.8 million, respectively, to the companies significantly influenced by Mr. He. As of December 31, 2025, amounts due from Mr. He represent the receivables for operation support service, sales of goods and sales of property, plant and equipment amounting to RMB95.9 million, RMB5.3 million and RMB0.9 million, respectively, to the companies significantly influenced by Mr. 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amounts due to Mr. He represent advances from the companies influenced by Mr. He of a </w:t>
      </w:r>
      <w:r>
        <w:rPr>
          <w:rFonts w:ascii="Times New Roman" w:hAnsi="Times New Roman"/>
          <w:i/>
          <w:sz w:val="20"/>
        </w:rPr>
        <w:t>de minimis</w:t>
      </w:r>
      <w:r>
        <w:rPr>
          <w:rFonts w:ascii="Times New Roman" w:hAnsi="Times New Roman"/>
          <w:sz w:val="20"/>
        </w:rPr>
        <w:t xml:space="preserve"> amount. As of December 31, 2024, amounts due to Mr. He represent payables for purchased services to and advances from the companies significantly influenced by Mr. He of RMB9.4 million and a </w:t>
      </w:r>
      <w:r>
        <w:rPr>
          <w:rFonts w:ascii="Times New Roman" w:hAnsi="Times New Roman"/>
          <w:i/>
          <w:sz w:val="20"/>
        </w:rPr>
        <w:t>de minimis</w:t>
      </w:r>
      <w:r>
        <w:rPr>
          <w:rFonts w:ascii="Times New Roman" w:hAnsi="Times New Roman"/>
          <w:sz w:val="20"/>
        </w:rPr>
        <w:t xml:space="preserve"> amount, respectively. As of December 31, 2025, amounts due to Mr. He represent the payables for purchased services amounting to RMB1.1 million to the companies significantly influenced by Mr. He.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2023, the Company entered into share purchase agreements with Dogotix and its shareholders, which include a wholly-owned company of Mr. He, pursuant to which, the shareholders of Dogotix agreed to sell and the Company agreed to purchase 74.82% of the total issued shares of Dogotix as of the same day for a total consideration of approximately US$98.96 million. </w:t>
      </w:r>
    </w:p>
    <w:p>
      <w:pPr>
        <w:pStyle w:val="TextBody"/>
        <w:bidi w:val="0"/>
        <w:spacing w:before="240" w:after="0"/>
        <w:jc w:val="left"/>
        <w:rPr/>
      </w:pPr>
      <w:r>
        <w:rPr>
          <w:rFonts w:ascii="Times New Roman" w:hAnsi="Times New Roman"/>
          <w:sz w:val="20"/>
        </w:rPr>
        <w:t>On January 2, 2024, Guangdong Xiaopeng entered into a cooperation framework agreement (the “2024 Cooperation Framework Agreement”) with Guangdong Huitian Aerospace Technology Co., Ltd. (</w:t>
      </w:r>
      <w:r>
        <w:rPr>
          <w:rFonts w:eastAsia="pmingliu"/>
          <w:sz w:val="18"/>
        </w:rPr>
        <w:t>广东汇天航空航天科技有限公司</w:t>
      </w:r>
      <w:r>
        <w:rPr>
          <w:rFonts w:ascii="Times New Roman" w:hAnsi="Times New Roman"/>
          <w:sz w:val="20"/>
        </w:rPr>
        <w:t xml:space="preserve">, “Guangdong Huitian”), pursuant to which Guangdong Xiaopeng and Guangdong Huitian agreed to cooperate in the research and development, manufacture, sales and after-sales service of flying vehicles, and Guangdong Xiaopeng will provide R&amp;D service, technology consulting service and sales agent service to Guangdong Huitian. The 2024 Cooperation Framework Agreement expired on December 31, 2025. On August 22, 2025, Guangdong Xiaopeng further entered into a new cooperation framework agreement with Guangdong Huitian, effective from January 1, 2026 to December 31, 2028, to continue the cooperation on flying vehicles. Guangdong Huitian is significantly influenced by Mr. He.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Arrangements with the Group VIEs and Their Respective Shareholders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Company—C. Organizational 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Employees—B. Compensation—Employment Agreements and Indemnification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Employees—B. Compensation—Share Incentive Plans.” </w:t>
      </w:r>
    </w:p>
    <w:p>
      <w:pPr>
        <w:pStyle w:val="TextBody"/>
        <w:bidi w:val="0"/>
        <w:spacing w:before="360" w:after="0"/>
        <w:jc w:val="left"/>
        <w:rPr>
          <w:rFonts w:ascii="Times New Roman" w:hAnsi="Times New Roman"/>
          <w:b/>
          <w:sz w:val="20"/>
        </w:rPr>
      </w:pPr>
      <w:r>
        <w:rPr>
          <w:rFonts w:ascii="Times New Roman" w:hAnsi="Times New Roman"/>
          <w:b/>
          <w:sz w:val="20"/>
        </w:rPr>
        <w:t xml:space="preserve">C. Interests of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905"/>
        <w:gridCol w:w="2630"/>
      </w:tblGrid>
      <w:tr>
        <w:trPr/>
        <w:tc>
          <w:tcPr>
            <w:tcW w:w="905" w:type="dxa"/>
            <w:tcBorders/>
            <w:vAlign w:val="center"/>
          </w:tcPr>
          <w:p>
            <w:pPr>
              <w:pStyle w:val="TableContents"/>
              <w:bidi w:val="0"/>
              <w:spacing w:before="0" w:after="283"/>
              <w:jc w:val="left"/>
              <w:rPr>
                <w:b/>
              </w:rPr>
            </w:pPr>
            <w:bookmarkStart w:id="12" w:name="rom36361_10"/>
            <w:bookmarkEnd w:id="12"/>
            <w:r>
              <w:rPr>
                <w:b/>
              </w:rPr>
              <w:t>ITEM 8.</w:t>
            </w:r>
          </w:p>
        </w:tc>
        <w:tc>
          <w:tcPr>
            <w:tcW w:w="26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Consolidated Statements and Other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appended consolidated financial statements filed as part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Legal and Administrative Proceedings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Overview—Legal Proceedings.”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we have not declared or paid any dividends on our shares. We do not have any present plan to declare or pay any dividends on our ordinary shares or ADSs in the foreseeable future. We intend to retain most, if not all, of our available funds and any future earnings to operate and expand our business. Any other future determination to pay dividends will be made at the discretion of our board of directors.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may be based on a number of factors, including our future operations and earnings, capital requirements and surplus, general financial condition, contractual restrictions and other factors that the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net of the fees and expenses payable thereunder. See “Item 12. Description of Securities other than Equity Securities—D. American Depositary Shares.” Cash dividends on our Class A ordinary shares, if any, will be paid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incorporated in the Cayman Islands. In order for us to distribute any dividends to our shareholders, we may rely on dividends distributed by our PRC subsidiaries for our cash requirements. PRC regulations may restrict the ability of our PRC subsidiaries to pay dividends to us. For example, certain payments from our PRC subsidiaries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Each of our PRC subsidiaries is required to set aside at least 10% of its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 See “Item 3.Key Information—D. Risk Factors—Risks Relating to Doing Business in China—We rely to a significant extent on dividends and other distributions on equity paid by our principal operating subsidiaries and service fees paid by the Group VIEs to fund offshore cash and financing requirements. Any limitation on the ability of our PRC operating subsidiaries to make payments to us could have a material adverse effect on our ability to conduct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B. Significant Changes </w:t>
      </w:r>
    </w:p>
    <w:p>
      <w:pPr>
        <w:pStyle w:val="TextBody"/>
        <w:bidi w:val="0"/>
        <w:spacing w:before="120" w:after="0"/>
        <w:jc w:val="left"/>
        <w:rPr>
          <w:rFonts w:ascii="Times New Roman" w:hAnsi="Times New Roman"/>
          <w:sz w:val="20"/>
        </w:rPr>
      </w:pPr>
      <w:r>
        <w:rPr>
          <w:rFonts w:ascii="Times New Roman" w:hAnsi="Times New Roman"/>
          <w:sz w:val="20"/>
        </w:rPr>
        <w:t xml:space="preserve">We have not experienced any other significant changes since the date of our audited consolidated financial statements included in this annual report.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905"/>
        <w:gridCol w:w="2510"/>
      </w:tblGrid>
      <w:tr>
        <w:trPr/>
        <w:tc>
          <w:tcPr>
            <w:tcW w:w="905" w:type="dxa"/>
            <w:tcBorders/>
            <w:vAlign w:val="center"/>
          </w:tcPr>
          <w:p>
            <w:pPr>
              <w:pStyle w:val="TableContents"/>
              <w:bidi w:val="0"/>
              <w:spacing w:before="0" w:after="283"/>
              <w:jc w:val="left"/>
              <w:rPr>
                <w:b/>
              </w:rPr>
            </w:pPr>
            <w:bookmarkStart w:id="13" w:name="rom36361_11"/>
            <w:bookmarkEnd w:id="13"/>
            <w:r>
              <w:rPr>
                <w:b/>
              </w:rPr>
              <w:t>ITEM 9.</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Offer and Listing Details </w:t>
      </w:r>
    </w:p>
    <w:p>
      <w:pPr>
        <w:pStyle w:val="TextBody"/>
        <w:bidi w:val="0"/>
        <w:spacing w:before="120" w:after="0"/>
        <w:jc w:val="left"/>
        <w:rPr>
          <w:rFonts w:ascii="Times New Roman" w:hAnsi="Times New Roman"/>
          <w:sz w:val="20"/>
        </w:rPr>
      </w:pPr>
      <w:r>
        <w:rPr>
          <w:rFonts w:ascii="Times New Roman" w:hAnsi="Times New Roman"/>
          <w:sz w:val="20"/>
        </w:rPr>
        <w:t xml:space="preserve">Our ADSs, each representing two of our Class A ordinary shares, have been listed on the New York Stock Exchange since August 27, 2020 under the symbol “XPEV.” Our Class A ordinary shares have been listed on the Hong Kong Stock Exchange since July 7, 2021, under the stock code “9868.” </w:t>
      </w:r>
    </w:p>
    <w:p>
      <w:pPr>
        <w:pStyle w:val="TextBody"/>
        <w:bidi w:val="0"/>
        <w:spacing w:before="360" w:after="0"/>
        <w:jc w:val="left"/>
        <w:rPr>
          <w:rFonts w:ascii="Times New Roman" w:hAnsi="Times New Roman"/>
          <w:b/>
          <w:sz w:val="20"/>
        </w:rPr>
      </w:pPr>
      <w:r>
        <w:rPr>
          <w:rFonts w:ascii="Times New Roman" w:hAnsi="Times New Roman"/>
          <w:b/>
          <w:sz w:val="20"/>
        </w:rPr>
        <w:t xml:space="preserve">B. Plan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Markets </w:t>
      </w:r>
    </w:p>
    <w:p>
      <w:pPr>
        <w:pStyle w:val="TextBody"/>
        <w:bidi w:val="0"/>
        <w:spacing w:before="120" w:after="0"/>
        <w:jc w:val="left"/>
        <w:rPr>
          <w:rFonts w:ascii="Times New Roman" w:hAnsi="Times New Roman"/>
          <w:sz w:val="20"/>
        </w:rPr>
      </w:pPr>
      <w:r>
        <w:rPr>
          <w:rFonts w:ascii="Times New Roman" w:hAnsi="Times New Roman"/>
          <w:sz w:val="20"/>
        </w:rPr>
        <w:t xml:space="preserve">Our ADSs, each representing two of our Class A ordinary shares, have been listed on the New York Stock Exchange since August 27, 2020 under the symbol “XPEV.” Our Class A ordinary shares have been listed on the Hong Kong Stock Exchange since July 7, 2021, under the stock code “9868.” </w:t>
      </w:r>
    </w:p>
    <w:p>
      <w:pPr>
        <w:pStyle w:val="TextBody"/>
        <w:bidi w:val="0"/>
        <w:spacing w:before="360" w:after="0"/>
        <w:jc w:val="left"/>
        <w:rPr>
          <w:rFonts w:ascii="Times New Roman" w:hAnsi="Times New Roman"/>
          <w:b/>
          <w:sz w:val="20"/>
        </w:rPr>
      </w:pPr>
      <w:r>
        <w:rPr>
          <w:rFonts w:ascii="Times New Roman" w:hAnsi="Times New Roman"/>
          <w:b/>
          <w:sz w:val="20"/>
        </w:rPr>
        <w:t xml:space="preserve">D. Selling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 Dilution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F. Expenses of the Issue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1025"/>
        <w:gridCol w:w="2795"/>
      </w:tblGrid>
      <w:tr>
        <w:trPr/>
        <w:tc>
          <w:tcPr>
            <w:tcW w:w="1025" w:type="dxa"/>
            <w:tcBorders/>
            <w:vAlign w:val="center"/>
          </w:tcPr>
          <w:p>
            <w:pPr>
              <w:pStyle w:val="TableContents"/>
              <w:bidi w:val="0"/>
              <w:spacing w:before="0" w:after="283"/>
              <w:jc w:val="left"/>
              <w:rPr>
                <w:b/>
              </w:rPr>
            </w:pPr>
            <w:bookmarkStart w:id="14" w:name="rom36361_12"/>
            <w:bookmarkEnd w:id="14"/>
            <w:r>
              <w:rPr>
                <w:b/>
              </w:rPr>
              <w:t>ITEM 10.</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Share Capital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B. Memorandum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We are a Cayman Islands exempted company with limited liability and our affairs are governed by our memorandum and articles of association, the Companies Act and the common law of the Cayman Islands. Our ninth amended and restated memorandum and articles of association became effective on June 20, 2023. </w:t>
      </w:r>
    </w:p>
    <w:p>
      <w:pPr>
        <w:pStyle w:val="TextBody"/>
        <w:bidi w:val="0"/>
        <w:spacing w:before="240" w:after="0"/>
        <w:jc w:val="left"/>
        <w:rPr>
          <w:rFonts w:ascii="Times New Roman" w:hAnsi="Times New Roman"/>
          <w:sz w:val="20"/>
        </w:rPr>
      </w:pPr>
      <w:r>
        <w:rPr>
          <w:rFonts w:ascii="Times New Roman" w:hAnsi="Times New Roman"/>
          <w:sz w:val="20"/>
        </w:rPr>
        <w:t xml:space="preserve">Our registered office is situated at Harneys Fiduciary (Cayman) Limited, 4th Floor, Harbour Place, 103 South Church Street, P.O. Box 10240, Grand Cayman KY1-1002, Cayman Islands or at such other place in the Cayman Islands as our directors may from time to time decide. Under our current ninth amended and restated memorandum and articles of association, the objects for which our company is established are unrestricted and our company have full power to carry out any object not prohibited by any law as provided by Section 7 (4) of the Companies Act of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For certain provisions of our memorandum and articles of association with respect to directors, see “Item 6. Directors, Senior Management and Employees—C. Board Practices.” Please further refer to the information set forth in exhibit 2.4 to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C.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material contracts other than in the ordinary course of business and other than those described in “Item 4. Information on the Company” or elsewhere in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D. 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Overview—Regulation—Regulation Related to Foreign Exchange and Dividend Distribution—Regulation on Foreign Currency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of certain Cayman Islands, People’s Republic of China and United States federal income tax consequences relevant to an investment in the ADSs and Class A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the ADSs and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or holders of the ADSs or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 </w:t>
      </w:r>
    </w:p>
    <w:p>
      <w:pPr>
        <w:pStyle w:val="TextBody"/>
        <w:bidi w:val="0"/>
        <w:spacing w:before="360" w:after="0"/>
        <w:jc w:val="left"/>
        <w:rPr>
          <w:rFonts w:ascii="Times New Roman" w:hAnsi="Times New Roman"/>
          <w:b/>
          <w:sz w:val="20"/>
        </w:rPr>
      </w:pPr>
      <w:r>
        <w:rPr>
          <w:rFonts w:ascii="Times New Roman" w:hAnsi="Times New Roman"/>
          <w:b/>
          <w:sz w:val="20"/>
        </w:rPr>
        <w:t xml:space="preserve">People’s Republic of China Taxation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Enterprise Income Tax Law, which was promulgated by the National People’s Congress on March 16, 2007, took effect on January 1, 2008 and was last amended on December 29, 2018, enterprises organized under the laws of jurisdictions outside China with their “de facto management bodies” located within China may be considered PRC resident enterprises and therefore subject to PRC enterprise income tax at the rate of 25% on their worldwide income. The implementing rules of the Enterprise Income Tax Law further define the term “de facto management body” as the management body that exercises substantial and overall management and control over the production and operations, personnel, accounting and assets of an enterprise. While we do not currently consider our company or any of our overseas subsidiaries to be a PRC resident enterprise, there is a risk that the PRC tax authorities may deem our company or any of our overseas subsidiaries as a PRC resident enterprise since a substantial majority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number of unfavorable PRC tax consequences could follow. One example is a 10% withholding tax would be imposed on dividends we pay to our non-PRC enterprise shareholders and with respect to gains derived by our non-PRC enterprise shareholders from transferring our shares or ADSs. Furthermore, dividends payable to individual investors who are non-PRC residents and any gain realized on the transfer of ADSs or ordinary shares by such investors may be subject to PRC tax at a current rate of 20%. Any PRC tax liability may be subject to reduction or exemption set forth in applicable tax treaties or under applicable tax arrangements between jurisdictions. It is unclear whether, if we are considered a PRC resident enterprise, holders of our shares or ADSs would be able to claim the benefit of income tax treaties or agreements entered into between China and other countries or areas. </w:t>
      </w:r>
    </w:p>
    <w:p>
      <w:pPr>
        <w:pStyle w:val="TextBody"/>
        <w:bidi w:val="0"/>
        <w:spacing w:before="360" w:after="0"/>
        <w:jc w:val="left"/>
        <w:rPr>
          <w:rFonts w:ascii="Times New Roman" w:hAnsi="Times New Roman"/>
          <w:b/>
          <w:sz w:val="20"/>
        </w:rPr>
      </w:pPr>
      <w:r>
        <w:rPr>
          <w:rFonts w:ascii="Times New Roman" w:hAnsi="Times New Roman"/>
          <w:b/>
          <w:sz w:val="20"/>
        </w:rPr>
        <w:t xml:space="preserve">Hong Kong Taxation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branch register of members in Hong Kong, or the Hong Kong share register. Dealings in our Class A ordinary shares registered on our Hong Kong share register will be subject to Hong Kong stamp duty. The stamp duty is charged to each of the seller and purchaser at the ad valorem rate of 0.10% of the consideration for, or (if greater) the value of, our Class A ordinary shares transferred. In other words, a total of 0.20% is payable on a typical sale and purchase transaction of our Class A ordinary shares. In addition, a fixed duty of HK$5.00 is charged on each instrument of transfer (if required).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ADS-ordinary share conversion and trading between the NYSE and the Hong Kong Stock Exchange, we also have moved a portion of our issued Class A ordinary shares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 Key Information—D. Risk Factors—Risks Relating to Our Class A Ordinary Shares and ADSs—There is uncertainty as to whether Hong Kong stamp duty will apply to the trading or conversion of our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United States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United States federal income tax consequences of the purchase, ownership and disposition of our ADSs and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deals only with ADSs and Class A ordinary shares that are held as capital assets by a United States Holder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“United States Holder” means a beneficial owner of our ADSs or Class A ordinary shares that is, for United States federal income tax purposes,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upon provisions of the Internal Revenue Code of 1986, as amended, or the Code, and regulations, rulings and judicial decisions thereunder as of the date hereof, and the current income tax treaty between the United States and the PRC, or the Treaty. Those authorities may be changed, perhaps retroactively, so as to result in United States federal income tax consequences different from those summarized below. In addition, this discussion assumes that the Deposit Agreement, and all other related agreements, will be performed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represent a detailed description of the United States federal income tax consequences applicable to you if you are subject to special treatment under the United States federal income tax laws, including if you are: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securities or currencies;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our ADSs or Class A ordinary shares as part of a hedging, integrated or conversion transaction, a constructive sale or a straddle;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has elected the mark-to-market method of accounting for your securities;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liable for alternative minimum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who owns or is deemed to own 10% or more of our stock by vote or value;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partnership or other pass-through entity for United States federal income tax purposes; or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other arrangement treated as a partnership for United States federal income tax purposes holds our ADSs or Class A ordinary shares, the tax treatment of a partner will generally depend upon the status of the partner and the activities of the partnership. If you are a partner of a partnership holding our ADSs or Class A ordinary shares, you should consult your tax advisors. </w:t>
      </w:r>
    </w:p>
    <w:p>
      <w:pPr>
        <w:pStyle w:val="TextBody"/>
        <w:bidi w:val="0"/>
        <w:spacing w:before="240" w:after="0"/>
        <w:jc w:val="left"/>
        <w:rPr>
          <w:rFonts w:ascii="Times New Roman" w:hAnsi="Times New Roman"/>
          <w:sz w:val="20"/>
        </w:rPr>
      </w:pPr>
      <w:r>
        <w:rPr>
          <w:rFonts w:ascii="Times New Roman" w:hAnsi="Times New Roman"/>
          <w:b/>
          <w:sz w:val="20"/>
        </w:rPr>
        <w:t>This discussion does not contain a detailed description of all the United States federal income tax consequences to you in light of your particular circumstances and does not address the Medicare tax on net investment income, United States federal estate and gift taxes or the effects of any state, local or non-United States tax laws. If you are considering the purchase of our ADSs or Class A ordinary shares, you should consult your tax advisors concerning the particular United States federal income tax consequences to you of the purchase, ownership and disposition of our ADSs or Class A ordinary shares, as well as the consequences to you arising under other United States federal tax laws and the laws of any other taxing jurisdiction.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ADSs </w:t>
      </w:r>
    </w:p>
    <w:p>
      <w:pPr>
        <w:pStyle w:val="TextBody"/>
        <w:bidi w:val="0"/>
        <w:spacing w:before="120" w:after="0"/>
        <w:jc w:val="left"/>
        <w:rPr>
          <w:rFonts w:ascii="Times New Roman" w:hAnsi="Times New Roman"/>
          <w:sz w:val="20"/>
        </w:rPr>
      </w:pPr>
      <w:r>
        <w:rPr>
          <w:rFonts w:ascii="Times New Roman" w:hAnsi="Times New Roman"/>
          <w:sz w:val="20"/>
        </w:rPr>
        <w:t xml:space="preserve">If you hold ADSs, for United States federal income tax purposes, you generally will be treated as the owner of the underlying Class A ordinary shares that are represented by such ADSs. Accordingly, deposits or withdrawals of Class A ordinary shares for ADSs will not be subject to United States federal income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under “—Passive Foreign Investment Company” below, the gross amount of distributions on the ADSs or Class A ordinary shares (including any amounts withheld to reflect PRC withholding taxes, as discussed above under “Item 10. Additional Information—E. Taxation—People’s Republic of China Taxation”) will be taxable as dividends to the extent paid out of our current or accumulated earnings and profits, as determined under United States federal income tax principles. To the extent that the amount of any distribution exceeds our current and accumulated earnings and profits for a taxable year, the distribution will first be treated as a tax-free return of capital, causing a reduction in your tax basis in the ADSs or Class A ordinary shares, and to the extent the amount of the distribution exceeds your tax basis, the excess will be taxed as capital gain recognized on a sale or exchange. We do not, however, expect to determine earnings and profits in accordance with United States federal income tax principles. Therefore, you should expect that a distribution will generally be reported as a dividend. Any dividends that you receive (including any withheld taxes) will be includable in your gross income as ordinary income on the day actually or constructively received by you, in the case of Class A ordinary shares, or by the depositary, in the case of ADSs. Such dividends will not be eligible for the dividends received deduction generally allowed to corporations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limitations (including a minimum holding period requirement), dividends received by non-corporate United States Holders from a qualified foreign corporation may be treated as “qualified dividend income” that is subject to reduced rates of taxation. A foreign corporation is generally treated as a qualified foreign corporation with respect to dividends paid by that corporation on shares (or ADSs backed by such shares) that are readily tradable on an established securities market in the United States. United States Treasury Department guidance indicates that our ADSs (which are listed on the NYSE) are readily tradable on an established securities market in the United States. Since our Class A ordinary shares are not listed on an established securities market in the United States, it is unclear whether dividends that we pay on our Class A ordinary shares that are not represented by ADSs currently meet the conditions required for these reduced tax rates. There also can be no assurance that our ADSs will continue to be readily tradable on an established securities market in the United States in later years. A qualified foreign corporation also generally includes a foreign corporation that is eligible for the benefits of certain income tax treaties with the United States. In the event that we are deemed to be a PRC resident enterprise under the Enterprise Income Tax Law, we may be eligible for the benefits of the Treaty, and if we are eligible for such benefits, dividends we pay on our Class A ordinary shares, regardless of whether such shares are represented by ADSs, would be potentially eligible for reduced rates of taxation. See “Item 10. Additional Information—E. Taxation—People’s Republic of China Taxation.”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we will not be treated as a qualified foreign corporation, and non-corporate United States Holders will not be eligible for reduced rates of taxation, for any dividends that we pay if we are a passive foreign investment company, or a PFIC, in the taxable year in which such dividends are paid or in the preceding taxable year (see “—Passive Foreign Investment Company” below). As discussed below under “—Passive Foreign Investment Company”, it is possible that we will be a PFIC for the current or future years. Therefore, if you are a non-corporate United States Holder, you should not assume that any dividends will be taxed at a reduced rate. You should consult your tax advisors regarding the application of these rules given your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and limitations (including a minimum holding period requirement), any PRC withholding taxes on dividends may be treated as foreign taxes eligible for credit against your United States federal income tax liability. However, no foreign tax credit will be allowed in respect of Hong Kong stamp duty. For purposes of calculating the foreign tax credit, dividends paid on the ADSs or Class A ordinary shares will generally be treated as income from sources outside the United States and will generally constitute passive category income. However, if you are eligible for Treaty benefits, any PRC withholding taxes on dividends will not be creditable against your United States federal income tax liability to the extent withheld at a rate exceeding the applicable Treaty rate. Instead of claiming a foreign tax credit, you may be able to deduct PRC withholding taxes in computing your taxable income, subject to generally applicable limitations under United States law (including that a United States Holder is not eligible for a deduction for otherwise creditable foreign income taxes paid or accrued in a taxable year if such United States Holder claims a foreign tax credit for any foreign income taxes paid or accrued in the same taxable year). The rules governing foreign tax credits and deductions for foreign taxes are complex. You are urged to consult your tax advisors regarding the availability of the foreign tax credit or a deduction under your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ADSs, Class A ordinary shares or rights to subscribe for ADSs or Class A ordinary shares that are received as part of a pro rata distribution to all of our shareholders generally will not be subject to United States federal income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composition of our income and assets and the value of our assets, including goodwill (which we have determined based on the trading price of our ADSs and Class A ordinary shares), we do not believe we were a PFIC for the year ended December 31, 2025, although there can be no assurance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In general, we will be a PFIC for any taxable year in which: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our gross income is passive income,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(generally determined based on a quarterly average) of our assets is attributable to assets that produce or are held for the production of passive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this purpose, passive income generally includes dividends, interest, gains from the sale or exchange of investment property, royalties and rents (other than royalties and rents derived in the active conduct of a trade or business and not derived from a related person). Cash is generally treated as an asset that produces or is held for the production of passive income. If we own at least 25% (by value) of the stock of another corporation, for purposes of determining whether we are a PFIC, we will be treated as owning our proportionate share of the other corporation’s assets and receiving our proportionate share of the other corporation’s income. However, there is uncertainty as to the treatment of our corporate structure and ownership of the Group VIEs for United States federal income tax purposes. For United States federal income tax purposes, we consider ourselves to own the equity of the Group VIEs. If it is determined, contrary to our view, that we do not own the equity of the Group VIEs for United States federal income tax purposes (for instance, because the relevant PRC authorities do not respect these arrangements), we are more likely to be treated as a PFIC.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determination of whether we are a PFIC is made annually. Accordingly, we may become a PFIC in the current or any future taxable year due to changes in our income or asset composition or changes in the value of our assets. In this regard, the value of our assets may be determined by reference to the trading price of our ADSs and Class A ordinary shares, and fluctuations in the trading price of our ADSs and Class A ordinary shares may affect our PFIC status. If we are a PFIC for any taxable year during which you hold our ADSs or Class A ordinary shares, you will be subject to special tax rules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you hold our ADSs or Class A ordinary shares and you do not make a timely mark-to-market election, as described below, you will be subject to special tax rules with respect to any “excess distribution” received and any gain realized from a sale or other disposition, including a pledge and a deemed sale discussed in the following paragraph, of ADSs or Class A ordinary shares. Distributions received in a taxable year, other than the taxable year in which your holding period in the ADSs or Class A ordinary shares begins, will be treated as excess distributions to the extent that they are greater than 125% of the average annual distributions received during the shorter of the three preceding taxable years or the portion of your holding period for the ADSs or Class A ordinary shares that preceded the taxable year of the distribution. Under these special tax rules: </w:t>
      </w:r>
    </w:p>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or gain will be allocated ratably over your holding period for the ADSs or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 prior to the first taxable year in which we were a PFIC, will be treated as ordinary income,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other year will be subject to tax at the highest tax rate in effect for individuals or corporations, as applicable, for that year and the interest charge generally applicable to underpayments of tax will be imposed on the resulting tax attributable to each such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determination of whether we are a PFIC is made annually, if we are a PFIC for any taxable year in which you hold our ADSs or Class A ordinary shares, you will generally be subject to the special tax rules described above for that year and for each subsequent year in which you hold the ADSs or Class A ordinary shares (even if we do not qualify as a PFIC in such subsequent years). However, if we cease to be a PFIC, you can avoid the continuing impact of the PFIC rules by making a special election to recognize gain as if your ADSs or Class A ordinary shares had been sold on the last day of the last taxable year during which we were a PFIC. You are urged to consult your tax advisor about this election. </w:t>
      </w:r>
    </w:p>
    <w:p>
      <w:pPr>
        <w:pStyle w:val="TextBody"/>
        <w:bidi w:val="0"/>
        <w:spacing w:before="240" w:after="0"/>
        <w:jc w:val="left"/>
        <w:rPr>
          <w:rFonts w:ascii="Times New Roman" w:hAnsi="Times New Roman"/>
          <w:sz w:val="20"/>
        </w:rPr>
      </w:pPr>
      <w:r>
        <w:rPr>
          <w:rFonts w:ascii="Times New Roman" w:hAnsi="Times New Roman"/>
          <w:sz w:val="20"/>
        </w:rPr>
        <w:t xml:space="preserve">In lieu of being subject to the special tax rules discussed above, you may make a mark-to-market election with respect to your ADSs or Class A ordinary shares provided such ADSs or Class A ordinary shares are treated as “marketable stock.” The ADSs or Class A ordinary shares generally will be treated as marketable stock if the ADSs or Class A ordinary shares are regularly traded on a “qualified exchange or other market” (within the meaning of the applicable Treasury regulations). The ADSs are listed on the NYSE, which constitutes a qualified exchange, although there can be no assurance that the ADSs will be “regularly traded” for purposes of the mark-to-market election. The Class A ordinary shares are listed on the Hong Kong Stock Exchange, which must meet certain trading, listing, financial disclosure and other requirements to be treated as a qualified exchange for these purposes. There also can be no assurance that the Class A ordinary shares will be “regularly traded” for purposes of the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If you make an effective mark-to-market election, for each taxable year that we are a PFIC you will include as ordinary income the excess of the fair market value of your ADSs or Class A ordinary shares at the end of the year over your adjusted tax basis in the ADSs or Class A ordinary shares. You will be entitled to deduct as an ordinary loss in each such year the excess of your adjusted tax basis in the ADSs or Class A ordinary shares over their fair market value at the end of the year, but only to the extent of the net amount previously included in income as a result of the mark-to-market election. Your adjusted tax basis in the ADSs or Class A ordinary shares will be increased by the amount of any income inclusion and decreased by the amount of any deductions under the mark-to-market rules. In addition, upon the sale or other disposition of your ADSs or Class A ordinary shares in a year that we are a PFIC, any loss will be treated as ordinary loss, but only to the extent of the net amount of previously included income as a result of the mark-to-market election, and any gain will be treated as ordinary income. If you make a mark-to-market election, any distributions that we make would generally be subject to the tax rules discussed above under “—Taxation of Dividends,” except that the lower rate applicable to dividends received by non-corporate United States Holders from a qualified foreign corporation (discussed above) would not apply if we are a PFIC in the taxable year in which the dividend is paid or in the preceding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make a mark-to-market election, it will be effective for the taxable year for which the election is made and all subsequent taxable years unless the ADSs or Class A ordinary shares are no longer regularly traded on a qualified exchange or other market, or the Internal Revenue Service, or the IRS, consents to the revocation of the election. You are urged to consult your tax advisor about the availability of the mark-to-market election, and whether making the election would be advisable in your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Alternatively, U.S. taxpayers can sometimes avoid the special tax rules described above by electing to treat a PFIC as a “qualified electing fund” under Section 1295 of the Code. However, this option is not available to you because we do not intend to prepare or provide you with the tax information necessary to permit you to make this election.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you hold our ADSs or Class A ordinary shares and any of our non-United States subsidiaries is also a PFIC, you will be treated as owning a proportionate amount (by value) of the shares of the lower-tier PFIC for purposes of the application of the PFIC rules. You will not be able to make the mark-to-market election described above in respect of any lower-tier PFIC. You are urged to consult your tax advisors about the application of the PFIC rules to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You will generally be required to file IRS Form 8621 if you hold our ADSs or Class A ordinary shares in any year in which we are a PFIC. You are urged to consult your tax advisors concerning the United States federal income tax consequences of holding ADSs or Class A ordinary shares if we are a PFIC in any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Disposition of ADSs or 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You will recognize taxable gain or loss on any sale, exchange or other disposition of the ADSs or Class A ordinary shares in an amount equal to the difference between the amount realized for the ADSs or Class A ordinary shares (net of any Hong Kong stamp duty imposed on such proceeds) and your tax basis in the ADSs or Class A ordinary shares (which should similarly take into account any Hong Kong stamp duty paid in connection with the acquisition of the ADSs or Class A ordinary shares), both determined in U.S. dollars. Subject to the discussion under “—Passive Foreign Investment Company” above, such gain or loss will generally be capital gain or loss and will generally be long-term capital gain or loss if you have held the ADSs or Class A ordinary shares for more than one year. Long-term capital gains of non-corporate United States Holders (including individuals) are eligible for reduced rates of taxation. The deductibility of capital losses is subject to limitations. Any gain or loss recognized by you will generally be treated as United States source gain or loss. However, if PRC tax is imposed on any gain (for instance, because we are treated as a PRC resident enterprise for PRC tax purposes or the PRC treats the sale, exchange or other disposition as an indirect transfer of PRC taxable assets), and if you are eligible for the benefits of the Treaty, you may elect to treat such gain as PRC source gain under the Treaty, in which case the gain and the associated tax would be placed in a separate basket for foreign tax credit limitation purposes. If you do not make the election to treat any gain as PRC source, then you generally would not be able to use any foreign tax credit arising from PRC tax imposed on the disposition of ADSs or Class A ordinary shares unless such credit can be applied (subject to applicable limitations) against tax due on other income derived from foreign sources. If you are not eligible for the benefits of the Treaty, then it is possible that you may not be able to claim a credit for any PRC taxes that are imposed upon a disposition of ADSs or Class A ordinary shares, and you should consult your tax advisor regarding the tax consequences to you if you are subject to such taxes. You are urged to consult your tax advisors regarding the tax consequences in case any PRC tax is imposed on gain on a disposition of the ADSs or Class A ordinary shares, including the availability of the foreign tax credit and the election to treat any gain as PRC source, under your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 Dividends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G. Statement by Experts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H. Documents on Display </w:t>
      </w:r>
    </w:p>
    <w:p>
      <w:pPr>
        <w:pStyle w:val="TextBody"/>
        <w:bidi w:val="0"/>
        <w:spacing w:before="120" w:after="0"/>
        <w:jc w:val="left"/>
        <w:rPr>
          <w:rFonts w:ascii="Times New Roman" w:hAnsi="Times New Roman"/>
          <w:sz w:val="20"/>
        </w:rPr>
      </w:pPr>
      <w:r>
        <w:rPr>
          <w:rFonts w:ascii="Times New Roman" w:hAnsi="Times New Roman"/>
          <w:sz w:val="20"/>
        </w:rPr>
        <w:t xml:space="preserve">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this annual report, including the exhibits incorporated by reference in this annual report, at the SEC’s Public Reference Room at 100 F Street, N.E., Washington, D.C. 20549 and at the SEC’s regional offices in New York, New York and Chicago, Illinois. You also can request copies of this annual report, including the exhibits incorporated by reference in this annual report, upon payment of a duplicating fee, by writing information on the operation of the SEC’s Public Reference Room. </w:t>
      </w:r>
    </w:p>
    <w:p>
      <w:pPr>
        <w:pStyle w:val="TextBody"/>
        <w:bidi w:val="0"/>
        <w:spacing w:before="240" w:after="0"/>
        <w:jc w:val="left"/>
        <w:rPr>
          <w:rFonts w:ascii="Times New Roman" w:hAnsi="Times New Roman"/>
          <w:sz w:val="20"/>
        </w:rPr>
      </w:pPr>
      <w:r>
        <w:rPr>
          <w:rFonts w:ascii="Times New Roman" w:hAnsi="Times New Roman"/>
          <w:sz w:val="20"/>
        </w:rPr>
        <w:t xml:space="preserve">The SEC also maintains a website at </w:t>
      </w:r>
      <w:r>
        <w:rPr>
          <w:rFonts w:ascii="Times New Roman" w:hAnsi="Times New Roman"/>
          <w:sz w:val="20"/>
          <w:u w:val="single"/>
        </w:rPr>
        <w:t>www.sec.gov</w:t>
      </w:r>
      <w:r>
        <w:rPr>
          <w:rFonts w:ascii="Times New Roman" w:hAnsi="Times New Roman"/>
          <w:sz w:val="20"/>
        </w:rPr>
        <w:t xml:space="preserve"> that contains reports, proxy statements and other information regarding registrants that file electronically with the SEC. Our annual report and some of the other information submitted by us to the SEC may be accessed through this web site.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financial statements have been prepared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our shareholders with annual reports, which will include a review of operations and annual audited consolidated financial statements prepared in conformity with U.S. GAAP. </w:t>
      </w:r>
    </w:p>
    <w:p>
      <w:pPr>
        <w:pStyle w:val="TextBody"/>
        <w:bidi w:val="0"/>
        <w:spacing w:before="360" w:after="0"/>
        <w:jc w:val="left"/>
        <w:rPr>
          <w:rFonts w:ascii="Times New Roman" w:hAnsi="Times New Roman"/>
          <w:b/>
          <w:sz w:val="20"/>
        </w:rPr>
      </w:pPr>
      <w:r>
        <w:rPr>
          <w:rFonts w:ascii="Times New Roman" w:hAnsi="Times New Roman"/>
          <w:b/>
          <w:sz w:val="20"/>
        </w:rPr>
        <w:t xml:space="preserve">I. Subsidiary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J. Annual Report to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We intend to submit the annual report provided to security holders in electronic format pursuant to the Hong Kong Listing Rules as an exhibit to a current report on Form 6-K.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1025"/>
        <w:gridCol w:w="7025"/>
      </w:tblGrid>
      <w:tr>
        <w:trPr/>
        <w:tc>
          <w:tcPr>
            <w:tcW w:w="1025" w:type="dxa"/>
            <w:tcBorders/>
            <w:vAlign w:val="center"/>
          </w:tcPr>
          <w:p>
            <w:pPr>
              <w:pStyle w:val="TableContents"/>
              <w:bidi w:val="0"/>
              <w:spacing w:before="0" w:after="283"/>
              <w:jc w:val="left"/>
              <w:rPr>
                <w:b/>
              </w:rPr>
            </w:pPr>
            <w:bookmarkStart w:id="15" w:name="rom36361_13"/>
            <w:bookmarkEnd w:id="15"/>
            <w:r>
              <w:rPr>
                <w:b/>
              </w:rPr>
              <w:t>ITEM 11.</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Renminbi (“RMB”) as its reporting currency. Our revenues and expenses are primarily denominated in Renminbi. The functional currency of our company and subsidiaries in the United States and Hong Kong is the U.S. dollar. The functional currency of our subsidiaries in the PRC, the VIE and the VIE’s subsidiaries is the Renminbi. 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foreign currency transactions occurred. Transaction gains and losses are recognized in the consolidated statements of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believe that we currently have any significant direct foreign exchange risk and have not used any derivative financial instruments to hedge exposure to such risk. Although in general our exposure to foreign exchange risks should be limited, the value of your investment in our ADSs will be affected by the exchange rate between U.S. dollar and RMB because the value of our business is effectively denominated in Renminbi, while our ADSs will be traded in U.S. dollars. On the other hand, we are subject to restrictions on currency exchange. Under PRC foreign exchange regulations,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 See “Item 3. Key Information—D. Risk Factors—Risks Relating to Doing Business in China—We are subject to restrictions on currency exchange” and “Item 4. Information on the Company—B. Business Overview—Regulation—Regulation Related to Foreign Exchange and Dividend Distribution—Regulation on Foreign Currency Exchange” for further details.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of Renminbi into foreign currencies, including U.S. dollars, is based on rates set by the PBOC. The PRC government allowed the Renminbi to appreciate by more than 20% against the U.S. dollar between July 2005 and July 2008. Between July 2008 and June 2010, the exchange rate between the Renminbi and the U.S. dollar had been stable and traded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This depreciation halted in 2017, and the Renminbi appreciated approximately 7% against the U.S. dollar during this one-year period. Starting from the beginning of 2019, the Renminbi has depreciated significantly against the U.S. dollar again. In early August 2019, the PBOC set the Renminbi’s daily reference rate at RMB7.0039 to US$1.00, the first time that the exchange rate of Renminbi to U.S. dollar exceeded 7.0 since 2008.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Class A ordinary shares or ADSs or for other business purposes, appreciation of the U.S. dollar against the Renminbi would have a negative effect on the U.S. dollar amounts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have not been exposed to material risks due to changes in market interest rates, and we have not used any derivative financial instruments to manage our interest risk exposure. However, we cannot provide assurance that we will not be exposed to material risks due to changes in market interest rate in the future. We may invest the net proceeds we received from the initial public offering in the U.S. and our follow-on public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inflation in China has not materially affected our results of operations. According to the National Bureau of Statistics of China, the year-over-year percent changes in the consumer price index for the year ended December 31, 2023 and 2024 were increases of 0.2% and 0.2%, respectively. The consumer price index for the year ended December 31, 2025 was flat compared to 2024. Although we have not been materially affected by inflation in the past, we may be affected if China experiences higher rates of inflation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345" w:type="dxa"/>
        <w:jc w:val="left"/>
        <w:tblInd w:w="0" w:type="dxa"/>
        <w:tblLayout w:type="fixed"/>
        <w:tblCellMar>
          <w:top w:w="0" w:type="dxa"/>
          <w:left w:w="0" w:type="dxa"/>
          <w:bottom w:w="0" w:type="dxa"/>
          <w:right w:w="0" w:type="dxa"/>
        </w:tblCellMar>
      </w:tblPr>
      <w:tblGrid>
        <w:gridCol w:w="1025"/>
        <w:gridCol w:w="6320"/>
      </w:tblGrid>
      <w:tr>
        <w:trPr/>
        <w:tc>
          <w:tcPr>
            <w:tcW w:w="1025" w:type="dxa"/>
            <w:tcBorders/>
            <w:vAlign w:val="center"/>
          </w:tcPr>
          <w:p>
            <w:pPr>
              <w:pStyle w:val="TableContents"/>
              <w:bidi w:val="0"/>
              <w:spacing w:before="0" w:after="283"/>
              <w:jc w:val="left"/>
              <w:rPr>
                <w:b/>
              </w:rPr>
            </w:pPr>
            <w:bookmarkStart w:id="16" w:name="rom36361_14"/>
            <w:bookmarkEnd w:id="16"/>
            <w:r>
              <w:rPr>
                <w:b/>
              </w:rPr>
              <w:t>ITEM 12.</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B. Warrants and Rights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D. American Depositary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Depositary Fees and Charges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Deposit Agreement for our ADSs, an ADS holder will be required to pay the following service fees to the depositary and certain taxes and governmental charges (in addition to any applicable fees, expenses, taxes and other governmental charges payable on the deposited securities represented by any of ADSs):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29"/>
        <w:gridCol w:w="120"/>
        <w:gridCol w:w="2856"/>
      </w:tblGrid>
      <w:tr>
        <w:trPr/>
        <w:tc>
          <w:tcPr>
            <w:tcW w:w="72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722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Service</w:t>
            </w:r>
          </w:p>
        </w:tc>
        <w:tc>
          <w:tcPr>
            <w:tcW w:w="120" w:type="dxa"/>
            <w:tcBorders/>
            <w:vAlign w:val="center"/>
          </w:tcPr>
          <w:p>
            <w:pPr>
              <w:pStyle w:val="TableContents"/>
              <w:bidi w:val="0"/>
              <w:spacing w:before="0" w:after="283"/>
              <w:jc w:val="left"/>
              <w:rPr/>
            </w:pPr>
            <w:r>
              <w:rPr/>
              <w:t>  </w:t>
            </w:r>
          </w:p>
        </w:tc>
        <w:tc>
          <w:tcPr>
            <w:tcW w:w="285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Fees</w:t>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Issuance of ADSs (e.g., an issuance of ADS upon a deposit of Class A ordinary shares, upon a change in the ADS(s)-to-Shares ratio, or for any other reason), excluding ADS issuances as a result of distributions of Class A ordinary shares</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issued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Cancellation of ADSs (e.g., a cancellation of ADSs for delivery of deposited shares, upon a change in the ADS(s)-to-Shares ratio, or for any other reason)</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cancelled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Distribution of cash dividends or other cash distributions (e.g., upon a sale of rights and other entitlements)</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held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Distribution of ADSs pursuant to (i) stock dividends or other free stock distributions, or (ii) exercise of rights to purchase additional ADSs</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held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Distribution of securities other than ADSs or rights to purchase additional ADSs (e.g., upon a spin-off)</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held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ADS Services</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held on the applicable record date(s) established by the depositary</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 xml:space="preserve">Registration of ADS transfers (e.g., upon a registration of the transfer of registered ownership of ADSs, upon a transfer of ADSs into DTC and </w:t>
            </w:r>
            <w:r>
              <w:rPr>
                <w:rFonts w:ascii="Times New Roman" w:hAnsi="Times New Roman"/>
                <w:i/>
              </w:rPr>
              <w:t>vice versa</w:t>
            </w:r>
            <w:r>
              <w:rPr>
                <w:rFonts w:ascii="Times New Roman" w:hAnsi="Times New Roman"/>
              </w:rPr>
              <w:t>, or for any other reason)</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(or fraction thereof) transferred</w:t>
            </w:r>
          </w:p>
        </w:tc>
      </w:tr>
      <w:tr>
        <w:trPr/>
        <w:tc>
          <w:tcPr>
            <w:tcW w:w="7229" w:type="dxa"/>
            <w:tcBorders/>
            <w:vAlign w:val="center"/>
          </w:tcPr>
          <w:p>
            <w:pPr>
              <w:pStyle w:val="TableContents"/>
              <w:bidi w:val="0"/>
              <w:spacing w:before="0" w:after="283"/>
              <w:jc w:val="left"/>
              <w:rPr>
                <w:sz w:val="4"/>
                <w:szCs w:val="4"/>
              </w:rPr>
            </w:pPr>
            <w:r>
              <w:rPr>
                <w:sz w:val="4"/>
                <w:szCs w:val="4"/>
              </w:rPr>
            </w:r>
          </w:p>
        </w:tc>
        <w:tc>
          <w:tcPr>
            <w:tcW w:w="2976" w:type="dxa"/>
            <w:gridSpan w:val="2"/>
            <w:tcBorders/>
            <w:vAlign w:val="center"/>
          </w:tcPr>
          <w:p>
            <w:pPr>
              <w:pStyle w:val="TableContents"/>
              <w:bidi w:val="0"/>
              <w:spacing w:before="0" w:after="283"/>
              <w:jc w:val="left"/>
              <w:rPr>
                <w:sz w:val="4"/>
                <w:szCs w:val="4"/>
              </w:rPr>
            </w:pPr>
            <w:r>
              <w:rPr>
                <w:sz w:val="4"/>
                <w:szCs w:val="4"/>
              </w:rPr>
            </w:r>
          </w:p>
        </w:tc>
      </w:tr>
      <w:tr>
        <w:trPr/>
        <w:tc>
          <w:tcPr>
            <w:tcW w:w="722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hAnsi="Times New Roman"/>
                <w:i/>
              </w:rPr>
              <w:t>vice versa</w:t>
            </w:r>
            <w:r>
              <w:rPr>
                <w:rFonts w:ascii="Times New Roman" w:hAnsi="Times New Roman"/>
              </w:rPr>
              <w:t>)</w:t>
            </w:r>
          </w:p>
        </w:tc>
        <w:tc>
          <w:tcPr>
            <w:tcW w:w="120" w:type="dxa"/>
            <w:tcBorders/>
            <w:vAlign w:val="center"/>
          </w:tcPr>
          <w:p>
            <w:pPr>
              <w:pStyle w:val="TableContents"/>
              <w:bidi w:val="0"/>
              <w:spacing w:before="0" w:after="283"/>
              <w:jc w:val="left"/>
              <w:rPr/>
            </w:pPr>
            <w:r>
              <w:rPr/>
              <w:t>  </w:t>
            </w:r>
          </w:p>
        </w:tc>
        <w:tc>
          <w:tcPr>
            <w:tcW w:w="2856" w:type="dxa"/>
            <w:tcBorders/>
            <w:vAlign w:val="center"/>
          </w:tcPr>
          <w:p>
            <w:pPr>
              <w:pStyle w:val="TableContents"/>
              <w:bidi w:val="0"/>
              <w:spacing w:before="0" w:after="283"/>
              <w:jc w:val="left"/>
              <w:rPr/>
            </w:pPr>
            <w:r>
              <w:rPr/>
              <w:t>Up to U.S. 5¢ per ADS (or fraction thereof) converted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Class A ordinary shares on the share register and applicable to transfers of Class A ordinary shares or other deposited securities to or from the name of the custodian, the depositary or any nominees upon the making of deposits and withdrawals,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as are expressly provided in the Deposit Agreement to be at the expense of the person depositing the Class A ordinary shares or withdrawing deposited property or of the holders and beneficial owners of ADSs;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and charges incurred by the depositary in the conversion of foreign currency;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as are incurred by the depositary in connection with compliance with exchange control regulations and other regulatory requirements applicable to deposited property, ADSs and ADRs;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ADS fees and charges may, at any time and from time to time, be changed by agreement between the depositary and the Company but, in the case of ADS fees and charges payable by holders and beneficial owners of ADSs, only in the manner contemplated in the Deposit Agreement. The depositary shall provide, without charge, a copy of its latest ADS fee schedule to anyone upon request. </w:t>
      </w:r>
    </w:p>
    <w:p>
      <w:pPr>
        <w:pStyle w:val="TextBody"/>
        <w:bidi w:val="0"/>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will be payable by the person for whom the ADSs are issued by the depositary (in the case of ADS issuances) and by the person for whom ADSs are cancelled (in the case of ADS cancellations). In the case of ADSs issued by the depositary into DTC or presented to the depositary via DTC, the ADS issuance and cancellation fees and charges will be payable by the DTC participant(s) receiving the ADSs being issued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by Depositary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we are entitled to receive payment of US$3.0 million from Citibank, N.A., the depositary bank for our ADR program. </w:t>
      </w:r>
    </w:p>
    <w:p>
      <w:pPr>
        <w:pStyle w:val="TextBody"/>
        <w:bidi w:val="0"/>
        <w:spacing w:before="480" w:after="0"/>
        <w:jc w:val="center"/>
        <w:rPr>
          <w:rFonts w:ascii="Times New Roman" w:hAnsi="Times New Roman"/>
          <w:b/>
          <w:sz w:val="20"/>
        </w:rPr>
      </w:pPr>
      <w:bookmarkStart w:id="17" w:name="rom36361_15"/>
      <w:bookmarkEnd w:id="17"/>
      <w:r>
        <w:rPr>
          <w:rFonts w:ascii="Times New Roman" w:hAnsi="Times New Roman"/>
          <w:b/>
          <w:sz w:val="20"/>
        </w:rPr>
        <w:t xml:space="preserve">PART II.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025"/>
        <w:gridCol w:w="5660"/>
      </w:tblGrid>
      <w:tr>
        <w:trPr/>
        <w:tc>
          <w:tcPr>
            <w:tcW w:w="1025" w:type="dxa"/>
            <w:tcBorders/>
            <w:vAlign w:val="center"/>
          </w:tcPr>
          <w:p>
            <w:pPr>
              <w:pStyle w:val="TableContents"/>
              <w:bidi w:val="0"/>
              <w:spacing w:before="0" w:after="283"/>
              <w:jc w:val="left"/>
              <w:rPr>
                <w:b/>
              </w:rPr>
            </w:pPr>
            <w:bookmarkStart w:id="18" w:name="rom36361_16"/>
            <w:bookmarkEnd w:id="18"/>
            <w:r>
              <w:rPr>
                <w:b/>
              </w:rPr>
              <w:t>ITEM 13.</w:t>
            </w:r>
          </w:p>
        </w:tc>
        <w:tc>
          <w:tcPr>
            <w:tcW w:w="56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025"/>
        <w:gridCol w:w="9005"/>
      </w:tblGrid>
      <w:tr>
        <w:trPr/>
        <w:tc>
          <w:tcPr>
            <w:tcW w:w="1025" w:type="dxa"/>
            <w:tcBorders/>
            <w:vAlign w:val="center"/>
          </w:tcPr>
          <w:p>
            <w:pPr>
              <w:pStyle w:val="TableContents"/>
              <w:bidi w:val="0"/>
              <w:spacing w:before="0" w:after="283"/>
              <w:jc w:val="left"/>
              <w:rPr>
                <w:b/>
              </w:rPr>
            </w:pPr>
            <w:bookmarkStart w:id="19" w:name="rom36361_17"/>
            <w:bookmarkEnd w:id="19"/>
            <w:r>
              <w:rPr>
                <w:b/>
              </w:rPr>
              <w:t>ITEM 14.</w:t>
            </w:r>
          </w:p>
        </w:tc>
        <w:tc>
          <w:tcPr>
            <w:tcW w:w="9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MODIFICATIONS TO THE RIGHTS OF SECURITY HOLDERS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10. Additional Information” for a description of the rights of securities holders. </w:t>
      </w:r>
    </w:p>
    <w:p>
      <w:pPr>
        <w:pStyle w:val="TextBody"/>
        <w:bidi w:val="0"/>
        <w:spacing w:before="240" w:after="0"/>
        <w:jc w:val="left"/>
        <w:rPr>
          <w:rFonts w:ascii="Times New Roman" w:hAnsi="Times New Roman"/>
          <w:sz w:val="20"/>
        </w:rPr>
      </w:pPr>
      <w:r>
        <w:rPr>
          <w:rFonts w:ascii="Times New Roman" w:hAnsi="Times New Roman"/>
          <w:sz w:val="20"/>
        </w:rPr>
        <w:t xml:space="preserve">In August 2020, we completed our initial public offering in the U.S. in which we offered and sold an aggregate 114,693,333 ADSs, representing 229,386,666 Class A ordinary shares, raising a total of US$1,655.7 million in net proceeds to us after underwriting discounts commissions and expenses. The effective date of our registration statement on Form F-1, as amended (File No. 333- 242283) was August 26, 2020.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we completed our follow-on public offering in the U.S. in which we offered and sold an aggregate 55,200,000 ADSs, representing 110,400,000 Class A ordinary shares, raising a total of US$2,444.9 million in net proceeds to us after underwriting discounts, commissions and expenses. The effective date of our registration statement on Form F-1, as amended (File No. 333-251164) was December 8, 2020. </w:t>
      </w:r>
    </w:p>
    <w:p>
      <w:pPr>
        <w:pStyle w:val="TextBody"/>
        <w:bidi w:val="0"/>
        <w:spacing w:before="240" w:after="0"/>
        <w:jc w:val="left"/>
        <w:rPr>
          <w:rFonts w:ascii="Times New Roman" w:hAnsi="Times New Roman"/>
          <w:sz w:val="20"/>
        </w:rPr>
      </w:pPr>
      <w:r>
        <w:rPr>
          <w:rFonts w:ascii="Times New Roman" w:hAnsi="Times New Roman"/>
          <w:sz w:val="20"/>
        </w:rPr>
        <w:t xml:space="preserve">In July 2021, we completed our listing on the Hong Kong Stock Exchange and public offering of 97,083,300 Class A ordinary shares, raising a total of approximately HK$15,823.3 million (or US$2,039.0 million based on an exchange rate of HK$7.7604 to US$1.00 as of June 11, 2021) in net proceeds to us after deducting underwriting fees and the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August 27, 2020 to December 31, 2025, we had fully utilized the net proceeds received from our initial public offering in the U.S. in August 2020 and our follow-on public offering in December 2020 for (i) research and development of our Smart EVs and NEVs and technologies, (ii) expansion of sales channels, supercharging network and international markets, (iii) marketing and promotional expenses, (iv) general corporate purposes and (v) strategic investments in core technologies of Smart EV and NEV. As of December 31, 2025, we had fully utilized the net proceeds received from our listing on the Hong Kong Stock Exchange and public offering in July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00" w:type="dxa"/>
        <w:jc w:val="left"/>
        <w:tblInd w:w="0" w:type="dxa"/>
        <w:tblLayout w:type="fixed"/>
        <w:tblCellMar>
          <w:top w:w="0" w:type="dxa"/>
          <w:left w:w="0" w:type="dxa"/>
          <w:bottom w:w="0" w:type="dxa"/>
          <w:right w:w="0" w:type="dxa"/>
        </w:tblCellMar>
      </w:tblPr>
      <w:tblGrid>
        <w:gridCol w:w="1025"/>
        <w:gridCol w:w="2975"/>
      </w:tblGrid>
      <w:tr>
        <w:trPr/>
        <w:tc>
          <w:tcPr>
            <w:tcW w:w="1025" w:type="dxa"/>
            <w:tcBorders/>
            <w:vAlign w:val="center"/>
          </w:tcPr>
          <w:p>
            <w:pPr>
              <w:pStyle w:val="TableContents"/>
              <w:bidi w:val="0"/>
              <w:spacing w:before="0" w:after="283"/>
              <w:jc w:val="left"/>
              <w:rPr>
                <w:b/>
              </w:rPr>
            </w:pPr>
            <w:bookmarkStart w:id="20" w:name="rom36361_18"/>
            <w:bookmarkEnd w:id="20"/>
            <w:r>
              <w:rPr>
                <w:b/>
              </w:rPr>
              <w:t>ITEM 15.</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As of the end of the period covered by this annual report, an evaluation has been carried out under the supervision and with the participation of our management, including our principal executive officer and principal accounting officer, of the effectiveness of the design and operation of our disclosure controls and procedures, as such term is defined under Rules 13a-15e and 15d-15(e)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Based on that evaluation, our management has concluded that our disclosure controls and procedures as of December 31, 2025, were effective in ensuring that information required to be disclosed in the reports that we file or submit under the Exchange Act is recorded, processed, summarized and reported, within the time periods specified in the SEC’s rules and forms, and that information required to be disclosed in the reports that we file or submit under the Exchange Act is accumulated and communicated to our management to allow timely decisions regarding required disclosure.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Rules 13a-15(f) and 15d-15(f) under the U.S. Exchange Act. As required by Rule 13a-15(c) of the U.S.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controls over financial reporting that occurred during the period covered by this annual report on Form 20-F that have materially affected, or are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Attestation Report of the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PricewaterhouseCoopers Zhong Tian LLP, has audited the effectiveness of our internal control over financial reporting as of December 31, 2025, as stated in its report, which appears on page F-2 of this annual report.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025"/>
        <w:gridCol w:w="980"/>
      </w:tblGrid>
      <w:tr>
        <w:trPr/>
        <w:tc>
          <w:tcPr>
            <w:tcW w:w="1025" w:type="dxa"/>
            <w:tcBorders/>
            <w:vAlign w:val="center"/>
          </w:tcPr>
          <w:p>
            <w:pPr>
              <w:pStyle w:val="TableContents"/>
              <w:bidi w:val="0"/>
              <w:spacing w:before="0" w:after="283"/>
              <w:jc w:val="left"/>
              <w:rPr>
                <w:b/>
              </w:rPr>
            </w:pPr>
            <w:r>
              <w:rPr>
                <w:b/>
              </w:rPr>
              <w:t>ITEM 16.</w:t>
            </w:r>
          </w:p>
        </w:tc>
        <w:tc>
          <w:tcPr>
            <w:tcW w:w="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05"/>
        <w:gridCol w:w="3965"/>
      </w:tblGrid>
      <w:tr>
        <w:trPr/>
        <w:tc>
          <w:tcPr>
            <w:tcW w:w="1205" w:type="dxa"/>
            <w:tcBorders/>
            <w:vAlign w:val="center"/>
          </w:tcPr>
          <w:p>
            <w:pPr>
              <w:pStyle w:val="TableContents"/>
              <w:bidi w:val="0"/>
              <w:spacing w:before="0" w:after="283"/>
              <w:jc w:val="left"/>
              <w:rPr>
                <w:b/>
              </w:rPr>
            </w:pPr>
            <w:bookmarkStart w:id="21" w:name="rom36361_19"/>
            <w:bookmarkEnd w:id="21"/>
            <w:r>
              <w:rPr>
                <w:b/>
              </w:rPr>
              <w:t>ITEM 16A.</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Mr. Donghao Yang, who is an independent director, qualifies as an audit committee financial expert as defined in Item 16A of the instruction to Form 20-F.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920" w:type="dxa"/>
        <w:jc w:val="left"/>
        <w:tblInd w:w="0" w:type="dxa"/>
        <w:tblLayout w:type="fixed"/>
        <w:tblCellMar>
          <w:top w:w="0" w:type="dxa"/>
          <w:left w:w="0" w:type="dxa"/>
          <w:bottom w:w="0" w:type="dxa"/>
          <w:right w:w="0" w:type="dxa"/>
        </w:tblCellMar>
      </w:tblPr>
      <w:tblGrid>
        <w:gridCol w:w="1190"/>
        <w:gridCol w:w="1730"/>
      </w:tblGrid>
      <w:tr>
        <w:trPr/>
        <w:tc>
          <w:tcPr>
            <w:tcW w:w="1190" w:type="dxa"/>
            <w:tcBorders/>
            <w:vAlign w:val="center"/>
          </w:tcPr>
          <w:p>
            <w:pPr>
              <w:pStyle w:val="TableContents"/>
              <w:bidi w:val="0"/>
              <w:spacing w:before="0" w:after="283"/>
              <w:jc w:val="left"/>
              <w:rPr>
                <w:b/>
              </w:rPr>
            </w:pPr>
            <w:bookmarkStart w:id="22" w:name="rom36361_20"/>
            <w:bookmarkEnd w:id="22"/>
            <w:r>
              <w:rPr>
                <w:b/>
              </w:rPr>
              <w:t>ITEM 16B.</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code of ethics that applies to our directors, officers and employees. We have filed our code of business conduct and ethics as an exhibit to our registration statement on Form F-1 (File No. 333- 242283), as amended, initially filed with the SEC on August 7, 2020. No changes have been made to the code of business conduct and ethics since its adoption and no waivers have been granted therefrom to our directors, officers or employees. We hereby undertake to provide to any person without charge, a copy of our code of business conduct and ethics within ten working days after we receive such person’s written request. </w:t>
      </w:r>
    </w:p>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1205"/>
        <w:gridCol w:w="4550"/>
      </w:tblGrid>
      <w:tr>
        <w:trPr/>
        <w:tc>
          <w:tcPr>
            <w:tcW w:w="1205" w:type="dxa"/>
            <w:tcBorders/>
            <w:vAlign w:val="center"/>
          </w:tcPr>
          <w:p>
            <w:pPr>
              <w:pStyle w:val="TableContents"/>
              <w:bidi w:val="0"/>
              <w:spacing w:before="0" w:after="283"/>
              <w:jc w:val="left"/>
              <w:rPr>
                <w:b/>
              </w:rPr>
            </w:pPr>
            <w:bookmarkStart w:id="23" w:name="rom36361_21"/>
            <w:bookmarkEnd w:id="23"/>
            <w:r>
              <w:rPr>
                <w:b/>
              </w:rPr>
              <w:t>ITEM 16C.</w:t>
            </w:r>
          </w:p>
        </w:tc>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PRINCIPAL ACCOUNTANT FEES AND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aggregate fees by categories specified below in connection with certain professional services rendered by PricewaterhouseCoopers Zhong Tian LLP and its affiliates, our principal independent public accountant for the periods indicated. We did not pay any other fees to our principal accountant during the periods indicated below. </w:t>
      </w:r>
    </w:p>
    <w:p>
      <w:pPr>
        <w:pStyle w:val="TextBody"/>
        <w:bidi w:val="0"/>
        <w:spacing w:before="0" w:after="0"/>
        <w:jc w:val="left"/>
        <w:rPr/>
      </w:pPr>
      <w:r>
        <w:rPr/>
        <w:t> </w:t>
      </w:r>
    </w:p>
    <w:tbl>
      <w:tblPr>
        <w:tblW w:w="3981" w:type="dxa"/>
        <w:jc w:val="left"/>
        <w:tblInd w:w="0" w:type="dxa"/>
        <w:tblLayout w:type="fixed"/>
        <w:tblCellMar>
          <w:top w:w="0" w:type="dxa"/>
          <w:left w:w="0" w:type="dxa"/>
          <w:bottom w:w="0" w:type="dxa"/>
          <w:right w:w="0" w:type="dxa"/>
        </w:tblCellMar>
      </w:tblPr>
      <w:tblGrid>
        <w:gridCol w:w="1415"/>
        <w:gridCol w:w="120"/>
        <w:gridCol w:w="85"/>
        <w:gridCol w:w="972"/>
        <w:gridCol w:w="85"/>
        <w:gridCol w:w="171"/>
        <w:gridCol w:w="85"/>
        <w:gridCol w:w="973"/>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1" w:type="dxa"/>
            <w:gridSpan w:val="6"/>
            <w:tcBorders/>
            <w:vAlign w:val="center"/>
          </w:tcPr>
          <w:p>
            <w:pPr>
              <w:pStyle w:val="TableContents"/>
              <w:bidi w:val="0"/>
              <w:spacing w:before="0" w:after="283"/>
              <w:jc w:val="center"/>
              <w:rPr>
                <w:b/>
              </w:rPr>
            </w:pPr>
            <w:r>
              <w:rPr>
                <w:b/>
              </w:rPr>
              <w:t>(In thousands of RMB)</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13,047</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12,509</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Fees(2)</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366</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13,047</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12,875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include the aggregate fees billed in each of the fiscal period listed for professional services rendered by our principal independent public accountant for the audit of our annual consolidated financial statements and internal control over financial reporting, review of our quarterly and interim condensed consolidated financial statements.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include the aggregate fees billed in each of the fiscal period listed for professional services rendered by our principal accountant for other advisory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of our audit committee is to pre-approve all auditing and non-audit services provided by our principal independent public accountant, including audit services, audit-related services and other services as described above.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1205"/>
        <w:gridCol w:w="7055"/>
      </w:tblGrid>
      <w:tr>
        <w:trPr/>
        <w:tc>
          <w:tcPr>
            <w:tcW w:w="1205" w:type="dxa"/>
            <w:tcBorders/>
            <w:vAlign w:val="center"/>
          </w:tcPr>
          <w:p>
            <w:pPr>
              <w:pStyle w:val="TableContents"/>
              <w:bidi w:val="0"/>
              <w:spacing w:before="0" w:after="283"/>
              <w:jc w:val="left"/>
              <w:rPr>
                <w:b/>
              </w:rPr>
            </w:pPr>
            <w:bookmarkStart w:id="24" w:name="rom36361_22"/>
            <w:bookmarkEnd w:id="24"/>
            <w:r>
              <w:rPr>
                <w:b/>
              </w:rPr>
              <w:t>ITEM 16D.</w:t>
            </w:r>
          </w:p>
        </w:tc>
        <w:tc>
          <w:tcPr>
            <w:tcW w:w="7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1190"/>
        <w:gridCol w:w="8120"/>
      </w:tblGrid>
      <w:tr>
        <w:trPr/>
        <w:tc>
          <w:tcPr>
            <w:tcW w:w="1190" w:type="dxa"/>
            <w:tcBorders/>
            <w:vAlign w:val="center"/>
          </w:tcPr>
          <w:p>
            <w:pPr>
              <w:pStyle w:val="TableContents"/>
              <w:bidi w:val="0"/>
              <w:spacing w:before="0" w:after="283"/>
              <w:jc w:val="left"/>
              <w:rPr>
                <w:b/>
              </w:rPr>
            </w:pPr>
            <w:bookmarkStart w:id="25" w:name="rom36361_23"/>
            <w:bookmarkEnd w:id="25"/>
            <w:r>
              <w:rPr>
                <w:b/>
              </w:rPr>
              <w:t>ITEM 16E.</w:t>
            </w:r>
          </w:p>
        </w:tc>
        <w:tc>
          <w:tcPr>
            <w:tcW w:w="8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the date of this annual report, we have not adopted any share repurchase program. The annual general meeting held on June 27, 2025 approved a general mandate to our board of directors to repurchase shares and/or ADSs of the Company not exceeding 10% of the total number of issued shares of the Company as at the date of such approval, for a period until the earliest of (i) the conclusion of the next annual general meeting, (ii) the end of the period within which the next annual general meeting is required to be held, and (iii) when such authority is revoked or varied by an ordinary resolution of our shareholders in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2022, Mr. Xiaopeng He, our co-founder, chairman and chief executive officer, through Simplicity Holding Limited, an entity wholly-owned by Mr. He, purchased a total of 2,200,000 ADSs in the open market in compliance with applicable laws and regulations. The average price paid per ADS was US$13.58. In August 2024, Mr. He purchased in the open market a total of 1,000,000 Class A ordinary shares at an average price of HK$27.13 per Class A ordinary share, and a total of 1,419,922 ADSs at an average price of US$7.02 per ADS through Galaxy Dynasty Limited, an entity wholly-owned by Mr. He. Furthermore, in August 2025, Mr. He purchased in the open market a total of 3,100,000 Class A ordinary shares at an average price of HK$80.49 per Class A ordinary share through Galaxy Dynasty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20" w:type="dxa"/>
        <w:jc w:val="left"/>
        <w:tblInd w:w="0" w:type="dxa"/>
        <w:tblLayout w:type="fixed"/>
        <w:tblCellMar>
          <w:top w:w="0" w:type="dxa"/>
          <w:left w:w="0" w:type="dxa"/>
          <w:bottom w:w="0" w:type="dxa"/>
          <w:right w:w="0" w:type="dxa"/>
        </w:tblCellMar>
      </w:tblPr>
      <w:tblGrid>
        <w:gridCol w:w="1175"/>
        <w:gridCol w:w="5345"/>
      </w:tblGrid>
      <w:tr>
        <w:trPr/>
        <w:tc>
          <w:tcPr>
            <w:tcW w:w="1175" w:type="dxa"/>
            <w:tcBorders/>
            <w:vAlign w:val="center"/>
          </w:tcPr>
          <w:p>
            <w:pPr>
              <w:pStyle w:val="TableContents"/>
              <w:bidi w:val="0"/>
              <w:spacing w:before="0" w:after="283"/>
              <w:jc w:val="left"/>
              <w:rPr>
                <w:b/>
              </w:rPr>
            </w:pPr>
            <w:bookmarkStart w:id="26" w:name="rom36361_24"/>
            <w:bookmarkEnd w:id="26"/>
            <w:r>
              <w:rPr>
                <w:b/>
              </w:rPr>
              <w:t>ITEM 16F.</w:t>
            </w:r>
          </w:p>
        </w:tc>
        <w:tc>
          <w:tcPr>
            <w:tcW w:w="5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REGISTRANT’S CERTIFYING ACCOUNTANT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205"/>
        <w:gridCol w:w="2735"/>
      </w:tblGrid>
      <w:tr>
        <w:trPr/>
        <w:tc>
          <w:tcPr>
            <w:tcW w:w="1205" w:type="dxa"/>
            <w:tcBorders/>
            <w:vAlign w:val="center"/>
          </w:tcPr>
          <w:p>
            <w:pPr>
              <w:pStyle w:val="TableContents"/>
              <w:bidi w:val="0"/>
              <w:spacing w:before="0" w:after="283"/>
              <w:jc w:val="left"/>
              <w:rPr>
                <w:b/>
              </w:rPr>
            </w:pPr>
            <w:bookmarkStart w:id="27" w:name="rom36361_25"/>
            <w:bookmarkEnd w:id="27"/>
            <w:r>
              <w:rPr>
                <w:b/>
              </w:rPr>
              <w:t>ITEM 16G.</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such term is defined in Rule 3b-4 under the Exchange Act), and our ADSs, each representing two Class A ordinary shares, are listed on the New York Stock Exchange. Our Class A ordinary shares are listed on the Hong Kong Stock Exchange. Under Section 303A of the New York Stock Exchange Listed Company Manual, New York Stock Exchange listed companies that are foreign private issuers are permitted to follow home country practice in lieu of the corporate governance provisions specified by the New York Stock Exchange with limited exceptions. The following summarizes some significant ways in which our corporate governance practices differ from those followed by domestic companies under the listing standards of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Under the New York Stock Exchange Listed Company Manual, or the NYSE Manual, U.S. domestic listed companies are required to have a majority of the board consisting of independent directors and have an audit committee, a compensation committee and a nominating/corporate governance committee, each composed entirely of independent directors, which are not required under the Companies Act (Revised) of the Cayman Islands, our home country. Currently, our board of directors is composed of six members, only four of whom satisfy the requirements for an “independent director” under Section 303A of the NYSE Manual. Under the Hong Kong Listing Rules, at least one-third of our directors shall be independent non-executive directors, and we are required to establish an audit committee, a compensation committee and a nomination committee, but only a majority of each committee’s members are required to be independent non-executive directors. Our audit committee is composed of three members, only two of whom satisfy the requirements for an “independent director” under Section 303A of the NYSE Manual, while each of them meets the criteria for independence set forth in Rule 10A-3 of the Exchange Act. Our compensation committee is composed of three members, only two of whom satisfy the requirements for an “independent director” under Section 303A of the NYSE Manual. Our nomination committee is composed of three members, only two of whom satisfy the requirements for an “independent director” under Section 303A of the NYSE Manual. In addition, the NYSE Manual requires shareholder approval for issuance of securities in certain situations, which is not required under the Cayman Islands law. We intend to follow the home country practice and the applicable laws and regulations in Hong Kong (including the Hong Kong Listing Rules) in determining whether shareholder approval is required.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05"/>
        <w:gridCol w:w="2705"/>
      </w:tblGrid>
      <w:tr>
        <w:trPr/>
        <w:tc>
          <w:tcPr>
            <w:tcW w:w="1205" w:type="dxa"/>
            <w:tcBorders/>
            <w:vAlign w:val="center"/>
          </w:tcPr>
          <w:p>
            <w:pPr>
              <w:pStyle w:val="TableContents"/>
              <w:bidi w:val="0"/>
              <w:spacing w:before="0" w:after="283"/>
              <w:jc w:val="left"/>
              <w:rPr>
                <w:b/>
              </w:rPr>
            </w:pPr>
            <w:bookmarkStart w:id="28" w:name="rom36361_26"/>
            <w:bookmarkEnd w:id="28"/>
            <w:r>
              <w:rPr>
                <w:b/>
              </w:rPr>
              <w:t>ITEM 16H.</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115"/>
        <w:gridCol w:w="7970"/>
      </w:tblGrid>
      <w:tr>
        <w:trPr/>
        <w:tc>
          <w:tcPr>
            <w:tcW w:w="1115" w:type="dxa"/>
            <w:tcBorders/>
            <w:vAlign w:val="center"/>
          </w:tcPr>
          <w:p>
            <w:pPr>
              <w:pStyle w:val="TableContents"/>
              <w:bidi w:val="0"/>
              <w:spacing w:before="0" w:after="283"/>
              <w:jc w:val="left"/>
              <w:rPr>
                <w:b/>
              </w:rPr>
            </w:pPr>
            <w:bookmarkStart w:id="29" w:name="rom36361_27"/>
            <w:bookmarkEnd w:id="29"/>
            <w:r>
              <w:rPr>
                <w:b/>
              </w:rPr>
              <w:t>ITEM 16I.</w:t>
            </w:r>
          </w:p>
        </w:tc>
        <w:tc>
          <w:tcPr>
            <w:tcW w:w="7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REGARDING FOREIGN JURISDICTIONS THAT PREVENT INSPECTIONS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940" w:type="dxa"/>
        <w:jc w:val="left"/>
        <w:tblInd w:w="0" w:type="dxa"/>
        <w:tblLayout w:type="fixed"/>
        <w:tblCellMar>
          <w:top w:w="0" w:type="dxa"/>
          <w:left w:w="0" w:type="dxa"/>
          <w:bottom w:w="0" w:type="dxa"/>
          <w:right w:w="0" w:type="dxa"/>
        </w:tblCellMar>
      </w:tblPr>
      <w:tblGrid>
        <w:gridCol w:w="1145"/>
        <w:gridCol w:w="2795"/>
      </w:tblGrid>
      <w:tr>
        <w:trPr/>
        <w:tc>
          <w:tcPr>
            <w:tcW w:w="1145" w:type="dxa"/>
            <w:tcBorders/>
            <w:vAlign w:val="center"/>
          </w:tcPr>
          <w:p>
            <w:pPr>
              <w:pStyle w:val="TableContents"/>
              <w:bidi w:val="0"/>
              <w:spacing w:before="0" w:after="0"/>
              <w:jc w:val="left"/>
              <w:rPr>
                <w:b/>
                <w:spacing w:val="0"/>
              </w:rPr>
            </w:pPr>
            <w:bookmarkStart w:id="30" w:name="rom36361_28"/>
            <w:bookmarkEnd w:id="30"/>
            <w:r>
              <w:rPr>
                <w:b/>
                <w:spacing w:val="0"/>
              </w:rPr>
              <w:t>ITEM 16J.</w:t>
            </w:r>
          </w:p>
        </w:tc>
        <w:tc>
          <w:tcPr>
            <w:tcW w:w="27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INSIDER TRADING POLICIES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We have adopted The Statement of Policies Governing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and the Prevention of Insider Trading (the “Insider Trading Policy”) since August 20, 2020, which was amended and restated on June 19, 2021. The Insider Trading Policy governs the purchase, sale, and other dispositions of the Company’s securities by directors, senior management, and employees and is reasonably designed to promote compliance with applicable insider trading laws, rules and regulations, and any listing standards applicable to the Company. A copy of the Company’s Insider Trading Policy is filed as Exhibit 11.2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hereto. </w:t>
      </w:r>
    </w:p>
    <w:p>
      <w:pPr>
        <w:pStyle w:val="TextBody"/>
        <w:bidi w:val="0"/>
        <w:spacing w:before="0" w:after="0"/>
        <w:ind w:left="0" w:right="0" w:hanging="0"/>
        <w:jc w:val="left"/>
        <w:rPr>
          <w:spacing w:val="0"/>
        </w:rPr>
      </w:pPr>
      <w:r>
        <w:rPr>
          <w:spacing w:val="0"/>
        </w:rPr>
        <w:t> </w:t>
      </w:r>
    </w:p>
    <w:tbl>
      <w:tblPr>
        <w:tblW w:w="2950" w:type="dxa"/>
        <w:jc w:val="left"/>
        <w:tblInd w:w="0" w:type="dxa"/>
        <w:tblLayout w:type="fixed"/>
        <w:tblCellMar>
          <w:top w:w="0" w:type="dxa"/>
          <w:left w:w="0" w:type="dxa"/>
          <w:bottom w:w="0" w:type="dxa"/>
          <w:right w:w="0" w:type="dxa"/>
        </w:tblCellMar>
      </w:tblPr>
      <w:tblGrid>
        <w:gridCol w:w="1205"/>
        <w:gridCol w:w="1745"/>
      </w:tblGrid>
      <w:tr>
        <w:trPr/>
        <w:tc>
          <w:tcPr>
            <w:tcW w:w="1205" w:type="dxa"/>
            <w:tcBorders/>
            <w:vAlign w:val="center"/>
          </w:tcPr>
          <w:p>
            <w:pPr>
              <w:pStyle w:val="TableContents"/>
              <w:bidi w:val="0"/>
              <w:spacing w:before="0" w:after="0"/>
              <w:jc w:val="left"/>
              <w:rPr>
                <w:b/>
                <w:spacing w:val="0"/>
              </w:rPr>
            </w:pPr>
            <w:bookmarkStart w:id="31" w:name="rom36361_29"/>
            <w:bookmarkEnd w:id="31"/>
            <w:r>
              <w:rPr>
                <w:b/>
                <w:spacing w:val="0"/>
              </w:rPr>
              <w:t>ITEM 16K.</w:t>
            </w:r>
          </w:p>
        </w:tc>
        <w:tc>
          <w:tcPr>
            <w:tcW w:w="17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CYBERSECURITY </w:t>
            </w:r>
          </w:p>
        </w:tc>
      </w:tr>
    </w:tbl>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 management and strategy </w:t>
      </w:r>
    </w:p>
    <w:p>
      <w:pPr>
        <w:pStyle w:val="TextBody"/>
        <w:bidi w:val="0"/>
        <w:spacing w:before="120" w:after="0"/>
        <w:jc w:val="left"/>
        <w:rPr>
          <w:rFonts w:ascii="Times New Roman" w:hAnsi="Times New Roman"/>
          <w:sz w:val="20"/>
        </w:rPr>
      </w:pPr>
      <w:r>
        <w:rPr>
          <w:rFonts w:ascii="Times New Roman" w:hAnsi="Times New Roman"/>
          <w:sz w:val="20"/>
        </w:rPr>
        <w:t xml:space="preserve">We attach great importance to information security and customer privacy protection and have a systematic process for overseeing and managing cybersecurity and related risks, which is integrated into our overall risk management systems and processes. Our cybersecurity program sets out the policies and processes to identify, assess, manage, mitigate and report cybersecurity risks in accordance with industry standards and applicable laws and regulations. The Company has obtained the ISO 27001 Information Security Management System Certificate and ISO 27701 Privacy Information Management System Certificate. Our cybersecurity program is led by a dedicated cybersecurity team principally responsible for managing our cybersecurity risk assessment processes, our security controls, and our response to cybersecurity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an emergency response center which serves as a central location for the reporting of cybersecurity matters, monitors broader cybersecurity environment, and gathers information on cybersecurity risks from both internal and external sources. We provide monetary rewards for valid identifications of cybersecurity risks. We also maintain a mechanism to monitor updates from applicable regulatory bodies to receive timely alerts on external cybersecurity incidents that may impact us, so that we may promptly assess and respond as needed. We also conduct regular, mandatory privacy protection trainings covering all our employees and maintain a reporting mechanism. </w:t>
      </w:r>
    </w:p>
    <w:p>
      <w:pPr>
        <w:pStyle w:val="TextBody"/>
        <w:bidi w:val="0"/>
        <w:spacing w:before="240" w:after="0"/>
        <w:jc w:val="left"/>
        <w:rPr>
          <w:rFonts w:ascii="Times New Roman" w:hAnsi="Times New Roman"/>
          <w:sz w:val="20"/>
        </w:rPr>
      </w:pPr>
      <w:r>
        <w:rPr>
          <w:rFonts w:ascii="Times New Roman" w:hAnsi="Times New Roman"/>
          <w:sz w:val="20"/>
        </w:rPr>
        <w:t xml:space="preserve">We periodically carry out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table-top</w:t>
      </w:r>
    </w:p>
    <w:p>
      <w:pPr>
        <w:pStyle w:val="TextBody"/>
        <w:bidi w:val="0"/>
        <w:spacing w:before="240" w:after="0"/>
        <w:jc w:val="left"/>
        <w:rPr>
          <w:rFonts w:ascii="Times New Roman" w:hAnsi="Times New Roman"/>
          <w:sz w:val="20"/>
        </w:rPr>
      </w:pPr>
      <w:r>
        <w:rPr>
          <w:rFonts w:ascii="Times New Roman" w:hAnsi="Times New Roman"/>
          <w:sz w:val="20"/>
        </w:rPr>
        <w:t xml:space="preserve">drills and simulations on cybersecurity incident response and security protection to assess and improve our ability to adapt to security-related threats. In particular, we conduct third-party vulnerability analysis including simulated hacker attacks in connection with our system upgrades. We also engage third-party service providers to conduct security assessments with respect to our ISO certificates and our vehicles network safety.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processes to assess cybersecurity risks of our third-party providers, with a goal to strengthen our supply chain resilience to cybersecurity risks. We conduct third-party risk assessment to identify and mitigate risks from third parties such as vendors, suppliers, subcontractors and other third-party providers. We consider cybersecurity risks when determining the selection and oversight of applicable third-party providers. </w:t>
      </w:r>
    </w:p>
    <w:p>
      <w:pPr>
        <w:pStyle w:val="TextBody"/>
        <w:bidi w:val="0"/>
        <w:spacing w:before="240" w:after="0"/>
        <w:jc w:val="left"/>
        <w:rPr>
          <w:rFonts w:ascii="Times New Roman" w:hAnsi="Times New Roman"/>
          <w:sz w:val="20"/>
        </w:rPr>
      </w:pPr>
      <w:r>
        <w:rPr>
          <w:rFonts w:ascii="Times New Roman" w:hAnsi="Times New Roman"/>
          <w:sz w:val="20"/>
        </w:rPr>
        <w:t xml:space="preserve">We have formulated emergency and incident response plans, clarifying the process for handling information security incidents. In the event of a cybersecurity incident, our cybersecurity team would assess, report and react in accordance with our emergency and incident response plans, under the oversight of our Information Security and Data Compliance Committee. </w:t>
      </w:r>
    </w:p>
    <w:p>
      <w:pPr>
        <w:pStyle w:val="TextBody"/>
        <w:bidi w:val="0"/>
        <w:spacing w:before="240" w:after="0"/>
        <w:jc w:val="left"/>
        <w:rPr>
          <w:rFonts w:ascii="Times New Roman" w:hAnsi="Times New Roman"/>
          <w:sz w:val="20"/>
        </w:rPr>
      </w:pPr>
      <w:r>
        <w:rPr>
          <w:rFonts w:ascii="Times New Roman" w:hAnsi="Times New Roman"/>
          <w:sz w:val="20"/>
        </w:rPr>
        <w:t xml:space="preserve">We have not identified risks from known cybersecurity threats, including as a result of any prior cybersecurity incidents, which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Information—D. Risk Factors—Risks Relating to Our Business and Industry—Actual or alleged failure to comply with laws, regulations, rules, policies and other obligations regarding privacy, data protection, cybersecurity and information security could subject us to significant reputational, financial, legal and operational consequences” and “—Any cyber-attacks, unauthorized access or control of the systems for our Smart EVs and NEVs could result in loss of confidence in us and our Smart EVs and NEVs and harm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business.”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Cybersecurity Governance </w:t>
      </w:r>
    </w:p>
    <w:p>
      <w:pPr>
        <w:pStyle w:val="TextBody"/>
        <w:bidi w:val="0"/>
        <w:spacing w:before="120" w:after="0"/>
        <w:jc w:val="left"/>
        <w:rPr>
          <w:rFonts w:ascii="Times New Roman" w:hAnsi="Times New Roman"/>
          <w:sz w:val="20"/>
        </w:rPr>
      </w:pPr>
      <w:r>
        <w:rPr>
          <w:rFonts w:ascii="Times New Roman" w:hAnsi="Times New Roman"/>
          <w:sz w:val="20"/>
        </w:rPr>
        <w:t>Our Information Security and Data Compliance Committee (the “Committee”) is primarily responsible for the oversight, decision-making and resources allocation of our cybersecurity efforts. The Committee is chaired by the Honorary Vice Chairman of the Board, and consists of vice presidents of our various business lines. The Committee oversees an Information Security Working Group and a Data Compliance Working Group. Our Information Security Working Group is primarily responsible for designing and maintaining our cybersecurity program and is led by the Head of our Data Intelligence Center. The Committee and the Information Security Working Group include members with relevant knowledge, skills and experience in assessing and managing cybersecurity risks. The Information Security Working Group reports quarterly to the Committee on the specific implementation of our cybersecurity program and any updates on any cybersecurity risks or incidents. In addition to the Honorary Vice Chairman of the Board who chairs the Information Security and Data Compliance Committee, the Audit Committee under our board of directors oversees cybersecurity risks management as part of its overall risk oversight function and discusses cybersecurity risks management at the Audit Committee meetings held every quarter. The Committee reports to our Audit Committee under our board of directors with respect to significant cybersecurity threats.</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36361_30"/>
      <w:bookmarkEnd w:id="32"/>
      <w:r>
        <w:rPr>
          <w:rFonts w:ascii="Times New Roman" w:hAnsi="Times New Roman"/>
          <w:b/>
          <w:sz w:val="20"/>
        </w:rPr>
        <w:t xml:space="preserve">PART III.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3" w:name="rom36361_31"/>
            <w:bookmarkEnd w:id="33"/>
            <w:r>
              <w:rPr>
                <w:b/>
              </w:rPr>
              <w:t>ITEM 17.</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4" w:name="rom36361_32"/>
            <w:bookmarkEnd w:id="34"/>
            <w:r>
              <w:rPr>
                <w:b/>
              </w:rPr>
              <w:t>ITEM 18.</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XPeng Inc. are included at the end of this annual report.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1025"/>
        <w:gridCol w:w="1025"/>
      </w:tblGrid>
      <w:tr>
        <w:trPr/>
        <w:tc>
          <w:tcPr>
            <w:tcW w:w="1025" w:type="dxa"/>
            <w:tcBorders/>
            <w:vAlign w:val="center"/>
          </w:tcPr>
          <w:p>
            <w:pPr>
              <w:pStyle w:val="TableContents"/>
              <w:bidi w:val="0"/>
              <w:spacing w:before="0" w:after="283"/>
              <w:jc w:val="left"/>
              <w:rPr>
                <w:b/>
              </w:rPr>
            </w:pPr>
            <w:bookmarkStart w:id="35" w:name="rom36361_33"/>
            <w:bookmarkEnd w:id="35"/>
            <w:r>
              <w:rPr>
                <w:b/>
              </w:rPr>
              <w:t>ITEM 19.</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4">
              <w:r>
                <w:rPr>
                  <w:rStyle w:val="InternetLink"/>
                </w:rPr>
                <w:t>Ninth Amended and Restated Memorandum and Articles of Association of the Registrant (incorporated herein by reference to Exhibit 3.1 to the current report on Form 6-K (File No. 001-39466), previously furnished with the Securities and Exchange Commission on June 21,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5">
              <w:r>
                <w:rPr>
                  <w:rStyle w:val="InternetLink"/>
                </w:rPr>
                <w:t>Form of American Depositary Receipt evidencing American Depositary Shares (included in Exhibit 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6">
              <w:r>
                <w:rPr>
                  <w:rStyle w:val="InternetLink"/>
                </w:rPr>
                <w:t>Specimen of Ordinary Share Certificate (incorporated herein by reference to Exhibit 4.1 to the registration statement on Form F-1 (File No. 333-242283), as amended, initially filed with the Securities and Exchange Commission on August 21, 2020).</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7">
              <w:r>
                <w:rPr>
                  <w:rStyle w:val="InternetLink"/>
                </w:rPr>
                <w:t>Form of Deposit Agreement among the Registrant, Citibank, N.A., as depositary, and the holders and beneficial owners of ADSs issued thereunder (incorporated herein by reference to Exhibit (a) to the Registration Statement on Form F-6 (Registration No. 333-248098), initially filed with the Securities and Exchange Commission on August 21, 2020)</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8">
              <w:r>
                <w:rPr>
                  <w:rStyle w:val="InternetLink"/>
                </w:rPr>
                <w:t>Description of Securities Registered Pursuant to Section 12 of the Securities Exchange Act of 1934 (incorporated herein by reference to Exhibit 2.4 to the annual report on Form 20-F for the fiscal year ended December 31, 2023 (File No. 001-39466), as amended, initially filed with the Securities and Exchange Commission on April 17, 2024)</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9">
              <w:r>
                <w:rPr>
                  <w:rStyle w:val="InternetLink"/>
                </w:rPr>
                <w:t>Dual Listing Letter Agreement, dated as of June 30, 2021, by and between the Company and the Citibank, N.A. (incorporated herein by reference to Exhibit (c)(i) to the Registration Statement on Form F-6 (Registration No. 333-272112), initially filed with the Securities and Exchange Commission on May 22, 2023)</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2.6</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0">
              <w:r>
                <w:rPr>
                  <w:rStyle w:val="InternetLink"/>
                </w:rPr>
                <w:t>Letter Agreement (Bulk Issuance), dated as of February 24, 2021, by and between the Company and XPeng Fortune Holdings Limited (incorporated herein by reference to Exhibit (c) to the Registration Statement on Form F-6 (Registration No. 333-256151), initially filed with the Securities and Exchange Commission on May 14, 2021)</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1">
              <w:r>
                <w:rPr>
                  <w:rStyle w:val="InternetLink"/>
                </w:rPr>
                <w:t>Form of Indemnification Agreement between the Registrant and its directors and executive officers (incorporated herein by reference to Exhibit 10.1 to the registration statement on Form F-1 (File No. 333-242283), as amended, initially filed with the Securities and Exchange Commission on August 21, 2020)</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95"/>
        <w:gridCol w:w="120"/>
        <w:gridCol w:w="939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2">
              <w:r>
                <w:rPr>
                  <w:rStyle w:val="InternetLink"/>
                </w:rPr>
                <w:t>Form of Employment Agreement between the Registrant and its executive officers based in the PRC (incorporated herein by reference to Exhibit 10.2 to the registration statement on Form F-1 (File No. 333-242283), as amended, initially filed with the Securities and Exchange Commission on August 21, 2020)</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3">
              <w:r>
                <w:rPr>
                  <w:rStyle w:val="InternetLink"/>
                </w:rPr>
                <w:t>English translation of Equity Interest Pledge Agreement by and among Xiaopeng Technology, Zhipeng IoV and the current individual shareholder of Zhipeng IoV, dated April 20, 2024 (incorporated herein by reference to Exhibit 4.3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4">
              <w:r>
                <w:rPr>
                  <w:rStyle w:val="InternetLink"/>
                </w:rPr>
                <w:t>English translation of Power of Attorney by and among Xiaopeng Technology, Zhipeng IoV and the current individual shareholder of Zhipeng IoV, dated April 20, 2024 (incorporated herein by reference to Exhibit 4.4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5">
              <w:r>
                <w:rPr>
                  <w:rStyle w:val="InternetLink"/>
                </w:rPr>
                <w:t>English translation of Tripartite Agreement on the Comprehensive Assignment of Rights and Obligations under the Loan Agreement by and among Xiaopeng Technology, Zhipeng IoV’s current individual shareholder and Zhipeng IoV’s former individual shareholders, dated April 20, 2024 (incorporated herein by reference to Exhibit 4.5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6">
              <w:r>
                <w:rPr>
                  <w:rStyle w:val="InternetLink"/>
                </w:rPr>
                <w:t>English translation of Exclusive Service Agreement by and among Xiaopeng Technology and Zhipeng IoV, dated April 20, 2024 (incorporated herein by reference to Exhibit 4.6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4.7</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7">
              <w:r>
                <w:rPr>
                  <w:rStyle w:val="InternetLink"/>
                </w:rPr>
                <w:t>English translation of Exclusive Option Agreement by and among Xiaopeng Technology, Zhipeng IoV and the current individual shareholder of Zhipeng IoV, dated April 20, 2024 (incorporated herein by reference to Exhibit 4.7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4.8</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8">
              <w:r>
                <w:rPr>
                  <w:rStyle w:val="InternetLink"/>
                </w:rPr>
                <w:t>English translation of Equity Interest Pledge Agreement by and among Xiaopeng Smart Mobility, Yidian Smart Mobility and the current individual shareholder of Yidian Smart Mobility, dated April 20, 2024 (incorporated herein by reference to Exhibit 4.8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4.9</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19">
              <w:r>
                <w:rPr>
                  <w:rStyle w:val="InternetLink"/>
                </w:rPr>
                <w:t>English translation of Power of Attorney by and among Xiaopeng Smart Mobility, Yidian Smart Mobility and the current individual shareholder of Yidian Smart Mobility, dated April 20, 2024 (incorporated herein by reference to Exhibit 4.9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4.10</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20">
              <w:r>
                <w:rPr>
                  <w:rStyle w:val="InternetLink"/>
                </w:rPr>
                <w:t>English translation of Tripartite Agreement on the Comprehensive Assignment of Rights and Obligations under the Loan Agreement by and among Xiaopeng Smart Mobility, Yidian Smart Mobility’s current individual shareholder and Yidian Smart Mobility’s former individual shareholders, dated April 20, 2024 (incorporated herein by reference to Exhibit 4.10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4.11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21">
              <w:r>
                <w:rPr>
                  <w:rStyle w:val="InternetLink"/>
                </w:rPr>
                <w:t>English translation of Exclusive Service Agreement by and among Xiaopeng Smart Mobility and Yidian Smart Mobility, dated April 20, 2024 (incorporated herein by reference to Exhibit 4.11 to the annual report on Form 20-F (File No. 001-39466), as amended, initially filed with the Securities and Exchange Commission on April 16,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16"/>
        <w:gridCol w:w="120"/>
        <w:gridCol w:w="9369"/>
      </w:tblGrid>
      <w:tr>
        <w:trPr/>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9" w:type="dxa"/>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4.12</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2">
              <w:r>
                <w:rPr>
                  <w:rStyle w:val="InternetLink"/>
                </w:rPr>
                <w:t>English translation of Exclusive Option Agreement by and among Xiaopeng Smart Mobility, Yidian Smart Mobility and the current individual shareholder of Yidian Smart Mobility, dated April 20, 2024 (incorporated herein by reference to Exhibit 4.12 to the annual report on Form 20-F (File No. 001-39466), as amended, initially filed with the Securities and Exchange Commission on April 16, 2025)</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4.13</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3">
              <w:r>
                <w:rPr>
                  <w:rStyle w:val="InternetLink"/>
                </w:rPr>
                <w:t>English translation of Loan Agreement, between Zhaoqing High-Tech Industry Development Zone Construction Investment and Development Co., Limited and Chengxing Zhidong, dated May 27, 2017 (incorporated herein by reference to Exhibit 10.13 to the registration statement on Form F-1 (File No. 333-242283), as amended, initially filed with the Securities and Exchange Commission on August 7,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4.14</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4">
              <w:r>
                <w:rPr>
                  <w:rStyle w:val="InternetLink"/>
                </w:rPr>
                <w:t>English translation of Amendment No. 1 to the Loan Agreement, by and among Zhaoqing High-Tech Industry Development Zone Construction Investment and Development Co., Limited, Chengxing Zhidong and Zhaoqing Xiaopeng, dated August 25, 2017 (incorporated herein by reference to Exhibit 10.14 to the registration statement on Form F-1 (File No. 333-242283), as amended, initially filed with the Securities and Exchange Commission on August 7,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4.15†</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5">
              <w:r>
                <w:rPr>
                  <w:rStyle w:val="InternetLink"/>
                </w:rPr>
                <w:t>English translation of Xiaopeng Brand Vehicle Cooperative Manufacturing Agreement, between Xiaopeng Technology and Haima Automobile Co., Ltd., dated March 31, 2017 (incorporated herein by reference to Exhibit 10.15 to the registration statement on Form F-1 (File No. 333-242283), as amended, initially filed with the Securities and Exchange Commission on August 11,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4.16†</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6">
              <w:r>
                <w:rPr>
                  <w:rStyle w:val="InternetLink"/>
                </w:rPr>
                <w:t>English translation of Xiaopeng Brand Vehicle Distribution Agreement, between Xiaopeng Technology and Haima Automobile Co., Ltd., dated March 31, 2017 (incorporated herein by reference to Exhibit 10.16 to the registration statement on Form F-1 (File No. 333-242283), as amended, initially filed with the Securities and Exchange Commission on August 11,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4.17</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7">
              <w:r>
                <w:rPr>
                  <w:rStyle w:val="InternetLink"/>
                </w:rPr>
                <w:t>Second Amended and Restated 2019 Share Incentive Plan (incorporated herein by reference to Exhibit 4.17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4.18</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8">
              <w:r>
                <w:rPr>
                  <w:rStyle w:val="InternetLink"/>
                </w:rPr>
                <w:t>Form of Employment Agreement between the Registrant and its executive officers based in the United States (incorporated herein by reference to Exhibit 10.18 to the registration statement on Form F-1 (File No. 333-242283), as amended, initially filed with the Securities and Exchange Commission on August 21,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4.19</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9">
              <w:r>
                <w:rPr>
                  <w:rStyle w:val="InternetLink"/>
                </w:rPr>
                <w:t>Form of Employment Agreement between the Registrant and its executive officers based in Hong Kong (incorporated herein by reference to Exhibit 10.19 to the registration statement on Form F-1 (File No. 333-242283), as amended, initially filed with the Securities and Exchange Commission on August 21,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4.20</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0">
              <w:r>
                <w:rPr>
                  <w:rStyle w:val="InternetLink"/>
                </w:rPr>
                <w:t>English translation of Cooperation Agreement, dated September 28, 2020, between Xiaopeng Motors and Guangzhou GET Investment Holdings Co., Ltd. (incorporated herein by reference to Exhibit 99.2 to the current report on Form 6-K (File No. 001-39466), as amended, initially filed with the Securities and Exchange Commission on September 28, 2020)</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4.21</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1">
              <w:r>
                <w:rPr>
                  <w:rStyle w:val="InternetLink"/>
                </w:rPr>
                <w:t>English translation of Capital Increase Agreement, dated March 12, 2021, by and among Chengxing Zhidong, Xiaopeng Motors, Guangdong Xiaopeng Motors Industry Holding Co., Ltd. and Guangdong Yuecai Industrial Investment Fund Partnership Enterprise (Limited Partnership) (incorporated herein by reference to Exhibit 4.21 to the annual report on Form 20-F (File No. 001-39466), as amended, initially filed with the Securities and Exchange Commission on April 16, 2021)</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16"/>
        <w:gridCol w:w="120"/>
        <w:gridCol w:w="9369"/>
      </w:tblGrid>
      <w:tr>
        <w:trPr/>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9" w:type="dxa"/>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4.22†</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2">
              <w:r>
                <w:rPr>
                  <w:rStyle w:val="InternetLink"/>
                </w:rPr>
                <w:t>English translation of Investment Agreement, dated April 8, 2021, between Administrative Committee of Wuhan Economic &amp; Technological Development Zone and Xiaopeng Motors (incorporated herein by reference to Exhibit 4.22 to the report on Form 20-F (File No. 001-39466), as amended, initially filed with the Securities and Exchange Commission on April 16, 2021)</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4.23</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3">
              <w:r>
                <w:rPr>
                  <w:rStyle w:val="InternetLink"/>
                </w:rPr>
                <w:t>English translation of Equity Interest Pledge Agreement by and among Xiaopeng Technology, Xintu Technology and the shareholder of Xintu Technology, dated August 12, 2021 (incorporated herein by reference to Exhibit 4.23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4.24</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4">
              <w:r>
                <w:rPr>
                  <w:rStyle w:val="InternetLink"/>
                </w:rPr>
                <w:t>English translation of Power of Attorney by and among Xiaopeng Technology, Xintu Technology and the shareholder of Xintu Technology, dated August 12, 2021 (incorporated herein by reference to Exhibit 4.24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4.25</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5">
              <w:r>
                <w:rPr>
                  <w:rStyle w:val="InternetLink"/>
                </w:rPr>
                <w:t>English translation of Loan Agreement by and among Xiaopeng Technology and the shareholder of Xintu Technology, dated August 12, 2021 (incorporated herein by reference to Exhibit 4.25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4.26</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6">
              <w:r>
                <w:rPr>
                  <w:rStyle w:val="InternetLink"/>
                </w:rPr>
                <w:t>English translation of Exclusive Service Agreement between Xiaopeng Technology and Xintu Technology, dated August 12, 2021 (incorporated herein by reference to Exhibit 4.26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4.27</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7">
              <w:r>
                <w:rPr>
                  <w:rStyle w:val="InternetLink"/>
                </w:rPr>
                <w:t>English translation of Exclusive Option Agreement by and among Xiaopeng Technology, Xintu Technology and the shareholder of Xintu Technology, dated August 12, 2021 (incorporated herein by reference to Exhibit 4.27 to the annual report on Form 20-F (File No. 001-39466), as amended, initially filed with the Securities and Exchange Commission on April 28, 2022)</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4.28</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8">
              <w:r>
                <w:rPr>
                  <w:rStyle w:val="InternetLink"/>
                </w:rPr>
                <w:t>Share Purchase Agreement by and among the Registrant, Volkswagen China and Volkswagen Nominee, dated July 26, 2023 (incorporated herein by reference to Exhibit 4.28 to the annual report on Form 20-F (File No. 001-39466), as amended, initially filed with the Securities and Exchange Commission on April 17, 2024)</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4.29</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9">
              <w:r>
                <w:rPr>
                  <w:rStyle w:val="InternetLink"/>
                </w:rPr>
                <w:t>Investor Rights Agreement by and among the Registrant, Volkswagen China and Volkswagen Nominee, dated July 26, 2023 (incorporated herein by reference to Exhibit 4.29 to the annual report on Form 20-F (File No. 001-39466), as amended, initially filed with the Securities and Exchange Commission on April 17, 2024)</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4.30</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0">
              <w:r>
                <w:rPr>
                  <w:rStyle w:val="InternetLink"/>
                </w:rPr>
                <w:t>Share Purchase Agreement by and among the Registrant, DiDi and Da Vinci Auto Co. Limited, dated August 27, 2023 (incorporated herein by reference to Exhibit 4.30 to the annual report on Form 20-F (File No. 001-39466), as amended, initially filed with the Securities and Exchange Commission on April 17, 2024)</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4.31</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1">
              <w:r>
                <w:rPr>
                  <w:rStyle w:val="InternetLink"/>
                </w:rPr>
                <w:t>First Amendment to Share Purchase Agreement, dated August 27, 2023, by and among the Registrant, DiDi and Da Vinci Auto Co. Limited, dated November 12, 2023 (incorporated herein by reference to Exhibit 4.31 to the annual report on Form 20-F (File No. 001-39466), as amended, initially filed with the Securities and Exchange Commission on April 17, 2024)</w:t>
              </w:r>
            </w:hyperlink>
          </w:p>
        </w:tc>
      </w:tr>
      <w:tr>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vAlign w:val="center"/>
          </w:tcPr>
          <w:p>
            <w:pPr>
              <w:pStyle w:val="TableContents"/>
              <w:bidi w:val="0"/>
              <w:spacing w:before="0" w:after="283"/>
              <w:jc w:val="left"/>
              <w:rPr/>
            </w:pPr>
            <w:r>
              <w:rPr/>
              <w:t>  </w:t>
            </w:r>
            <w:r>
              <w:rPr/>
              <w:t>4.32</w:t>
            </w:r>
          </w:p>
        </w:tc>
        <w:tc>
          <w:tcPr>
            <w:tcW w:w="120"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2">
              <w:r>
                <w:rPr>
                  <w:rStyle w:val="InternetLink"/>
                </w:rPr>
                <w:t>Agreements for the Sale and Purchase of Shares in Dogotix by and among XPeng Dogotix Holdings Limited, Dogotix, and each of XProbot Holdings Limited and other minority selling shareholders, dated September 29, 2023 (incorporated herein by reference to Exhibit 4.32 to the annual report on Form 20-F (File No. 001-39466), as amended, initially filed with the Securities and Exchange Commission on April 17,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95"/>
        <w:gridCol w:w="120"/>
        <w:gridCol w:w="9390"/>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0"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4.33</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3">
              <w:r>
                <w:rPr>
                  <w:rStyle w:val="InternetLink"/>
                </w:rPr>
                <w:t>English translation of the Termination Agreement to Cooperation Agreement on the Acquisition of Insurance Agency Business Qualification, dated July 22, 2022, by and among Xiaopeng Motors Sales, Mr. Tao He, Mr. Tao He’s spouse and Guangzhou Xuetao, dated January 31, 2024 (incorporated herein by reference to Exhibit 4.33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4.34</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4">
              <w:r>
                <w:rPr>
                  <w:rStyle w:val="InternetLink"/>
                </w:rPr>
                <w:t>English translation of Equity Interest Pledge Agreement by and among Xiaopeng Motors Sales, GIIA, Guangzhou Xuetao and the shareholder of Guangzhou Xuetao, dated January 31, 2024 (incorporated herein by reference to Exhibit 4.34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4.35</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5">
              <w:r>
                <w:rPr>
                  <w:rStyle w:val="InternetLink"/>
                </w:rPr>
                <w:t>English translation of Power of Attorney by and among Xiaopeng Motors Sales, GIIA, Guangzhou Xuetao and the shareholder of Guangzhou Xuetao, dated January 31, 2024 (incorporated herein by reference to Exhibit 4.35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4.36</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6">
              <w:r>
                <w:rPr>
                  <w:rStyle w:val="InternetLink"/>
                </w:rPr>
                <w:t>English translation of Loan Agreement between Xiaopeng Motors Sales and the shareholder of Guangzhou Xuetao, dated January 31, 2024 (incorporated herein by reference to Exhibit 4.36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4.37</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7">
              <w:r>
                <w:rPr>
                  <w:rStyle w:val="InternetLink"/>
                </w:rPr>
                <w:t>English translation of Exclusive Service Agreement between Xiaopeng Motors Sales and GIIA, dated January 31, 2024 (incorporated herein by reference to Exhibit 4.37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4.38</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8">
              <w:r>
                <w:rPr>
                  <w:rStyle w:val="InternetLink"/>
                </w:rPr>
                <w:t>English translation of Exclusive Option Agreement by and among Xiaopeng Motors Sales, GIIA, Guangzhou Xuetao and the shareholder of Guangzhou Xuetao, dated January 31, 2024 (incorporated herein by reference to Exhibit 4.38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4.39</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49">
              <w:r>
                <w:rPr>
                  <w:rStyle w:val="InternetLink"/>
                </w:rPr>
                <w:t>Master Agreement on Platform and Software Collaboration by and among Xiaopeng Motors, Xiaopeng Technology, Volkswagen Group (China) Technology Company Ltd. and Volkswagen (Anhui) Company Ltd., dated February 5, 2024 (incorporated herein by reference to Exhibit 4.39 to the annual report on Form 20-F (File No. 001-39466), as amended, initially filed with the Securities and Exchange Commission on April 17, 2024)</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4.40</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50">
              <w:r>
                <w:rPr>
                  <w:rStyle w:val="InternetLink"/>
                </w:rPr>
                <w:t>English translation of Termination Agreement by and among Xiaopeng Technology, Zhipeng IoV, and Zhipeng IoV’s former individual shareholders, dated April 20, 2024 (incorporated herein by reference to Exhibit 4.40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4.41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51">
              <w:r>
                <w:rPr>
                  <w:rStyle w:val="InternetLink"/>
                </w:rPr>
                <w:t>English translation of Termination Agreement by and among Xiaopeng Smart Mobility, Yidian Smart Mobility, and Yidian Smart Mobility’s former individual shareholders, dated April 20, 2024 (incorporated herein by reference to Exhibit 4.41 to the annual report on Form 20-F (File No. 001-39466), as amended, initially filed with the Securities and Exchange Commission on April 16,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4.42</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52">
              <w:r>
                <w:rPr>
                  <w:rStyle w:val="InternetLink"/>
                </w:rPr>
                <w:t>2025 Share Incentive Scheme (incorporated herein by reference to Exhibit 4.7 to the registration statement on Form S-8 (File No. 333-290373), as amended, initially filed with the Securities and Exchange Commission on September 19, 2025)</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w:anchor="d36361dex81.htm">
              <w:r>
                <w:rPr>
                  <w:rStyle w:val="InternetLink"/>
                </w:rPr>
                <w:t xml:space="preserve">List of Significant Subsidiaries </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9510"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 </w:t>
            </w:r>
            <w:r>
              <w:rPr/>
              <w:t>11.1</w:t>
            </w:r>
          </w:p>
        </w:tc>
        <w:tc>
          <w:tcPr>
            <w:tcW w:w="12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hyperlink r:id="rId53">
              <w:r>
                <w:rPr>
                  <w:rStyle w:val="InternetLink"/>
                </w:rPr>
                <w:t>Code of Business Conduct and Ethics of the Registrant (incorporated herein by reference to Exhibit 99.1 to the registration statement on Form F-1 (File No. 333-242283), as amended, initially filed with the Securities and Exchange Commission on August 21, 2020)</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7"/>
        <w:gridCol w:w="120"/>
        <w:gridCol w:w="9328"/>
      </w:tblGrid>
      <w:tr>
        <w:trPr/>
        <w:tc>
          <w:tcPr>
            <w:tcW w:w="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28" w:type="dxa"/>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11.2</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54">
              <w:r>
                <w:rPr>
                  <w:rStyle w:val="InternetLink"/>
                </w:rPr>
                <w:t>Insider Trading Policy (incorporated herein by reference to Exhibit 11.2 to the annual report on Form 20-F (File No. 001-39466), as amended, initially filed with the Securities and Exchange Commission on April 16, 2025)</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12.1*</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21.htm">
              <w:r>
                <w:rPr>
                  <w:rStyle w:val="InternetLink"/>
                </w:rPr>
                <w:t xml:space="preserve">Certification by Chief Executive Officer Pursuant to Section 302 of the Sarbanes-Oxley Act of 2002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12.2*</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22.htm">
              <w:r>
                <w:rPr>
                  <w:rStyle w:val="InternetLink"/>
                </w:rPr>
                <w:t xml:space="preserve">Certification by Principal Financial Officer Pursuant to Section 302 of the Sarbanes-Oxley Act of 2002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13.1**</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31.htm">
              <w:r>
                <w:rPr>
                  <w:rStyle w:val="InternetLink"/>
                </w:rPr>
                <w:t xml:space="preserve">Certification by Chief Executive Officer Pursuant to Section 906 of the Sarbanes-Oxley Act of 2002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13.2**</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32.htm">
              <w:r>
                <w:rPr>
                  <w:rStyle w:val="InternetLink"/>
                </w:rPr>
                <w:t xml:space="preserve">Certification by Principal Financial Officer Pursuant to Section 906 of the Sarbanes-Oxley Act of 2002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15.1*</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51.htm">
              <w:r>
                <w:rPr>
                  <w:rStyle w:val="InternetLink"/>
                </w:rPr>
                <w:t xml:space="preserve">Consent of Fangda Partners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15.2*</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d36361dex152.htm">
              <w:r>
                <w:rPr>
                  <w:rStyle w:val="InternetLink"/>
                </w:rPr>
                <w:t xml:space="preserve">Consent of Independent Registered Public Accounting Firm </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97</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55">
              <w:r>
                <w:rPr>
                  <w:rStyle w:val="InternetLink"/>
                </w:rPr>
                <w:t>Recovery of Erroneously Awarded Incentive-Based Compensation (incorporated herein by reference to Exhibit 97 to the annual report on Form 20-F (File No. 001-39466), as amended, initially filed with the Securities and Exchange Commission on April 17, 2024)</w:t>
              </w:r>
            </w:hyperlink>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Inline XBRL Instance Document -this instance document does not appear in the Interactive Data File because its XBRL tags embedded within the Inline XBRL document</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Inline XBRL Taxonomy Extension Schema with Embedded Linkbase Documents</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Cover Page formatted as Inline XBRL and contained in Exhibit 101</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Filed herewith</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r>
              <w:rPr/>
              <w:t>**</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Furnished herewith</w:t>
            </w:r>
          </w:p>
        </w:tc>
      </w:tr>
      <w:tr>
        <w:trPr/>
        <w:tc>
          <w:tcPr>
            <w:tcW w:w="757" w:type="dxa"/>
            <w:tcBorders/>
            <w:vAlign w:val="center"/>
          </w:tcPr>
          <w:p>
            <w:pPr>
              <w:pStyle w:val="TableContents"/>
              <w:bidi w:val="0"/>
              <w:spacing w:before="0" w:after="283"/>
              <w:jc w:val="left"/>
              <w:rPr>
                <w:sz w:val="4"/>
                <w:szCs w:val="4"/>
              </w:rPr>
            </w:pPr>
            <w:r>
              <w:rPr>
                <w:sz w:val="4"/>
                <w:szCs w:val="4"/>
              </w:rPr>
            </w:r>
          </w:p>
        </w:tc>
        <w:tc>
          <w:tcPr>
            <w:tcW w:w="9448"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Portions of this exhibit have been omitted in accordance with Instruction 4 to Item 19 of Form 20-F.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hereby certifies that it meets all of the requirements for filing its annual report on Form 20-F and that it has duly caused and authorized the undersigned to sign this annual report on its behalf. </w:t>
      </w:r>
    </w:p>
    <w:p>
      <w:pPr>
        <w:pStyle w:val="TextBody"/>
        <w:bidi w:val="0"/>
        <w:spacing w:before="0" w:after="0"/>
        <w:jc w:val="left"/>
        <w:rPr/>
      </w:pPr>
      <w:r>
        <w:rPr/>
        <w:t> </w:t>
      </w:r>
    </w:p>
    <w:tbl>
      <w:tblPr>
        <w:tblW w:w="4947" w:type="dxa"/>
        <w:jc w:val="left"/>
        <w:tblInd w:w="0" w:type="dxa"/>
        <w:tblLayout w:type="fixed"/>
        <w:tblCellMar>
          <w:top w:w="0" w:type="dxa"/>
          <w:left w:w="0" w:type="dxa"/>
          <w:bottom w:w="0" w:type="dxa"/>
          <w:right w:w="0" w:type="dxa"/>
        </w:tblCellMar>
      </w:tblPr>
      <w:tblGrid>
        <w:gridCol w:w="1141"/>
        <w:gridCol w:w="113"/>
        <w:gridCol w:w="965"/>
        <w:gridCol w:w="965"/>
        <w:gridCol w:w="1763"/>
      </w:tblGrid>
      <w:tr>
        <w:trPr/>
        <w:tc>
          <w:tcPr>
            <w:tcW w:w="11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4947" w:type="dxa"/>
            <w:gridSpan w:val="5"/>
            <w:tcBorders/>
            <w:vAlign w:val="center"/>
          </w:tcPr>
          <w:p>
            <w:pPr>
              <w:pStyle w:val="TableContents"/>
              <w:bidi w:val="0"/>
              <w:spacing w:before="0" w:after="283"/>
              <w:jc w:val="left"/>
              <w:rPr/>
            </w:pPr>
            <w:r>
              <w:rPr/>
              <w:t>XPENG INC.</w:t>
            </w:r>
          </w:p>
        </w:tc>
      </w:tr>
      <w:tr>
        <w:trPr/>
        <w:tc>
          <w:tcPr>
            <w:tcW w:w="1141" w:type="dxa"/>
            <w:tcBorders/>
            <w:vAlign w:val="center"/>
          </w:tcPr>
          <w:p>
            <w:pPr>
              <w:pStyle w:val="TableContents"/>
              <w:bidi w:val="0"/>
              <w:spacing w:before="0" w:after="283"/>
              <w:jc w:val="left"/>
              <w:rPr>
                <w:sz w:val="4"/>
                <w:szCs w:val="4"/>
              </w:rPr>
            </w:pPr>
            <w:r>
              <w:rPr>
                <w:sz w:val="4"/>
                <w:szCs w:val="4"/>
              </w:rPr>
            </w:r>
          </w:p>
        </w:tc>
        <w:tc>
          <w:tcPr>
            <w:tcW w:w="3806" w:type="dxa"/>
            <w:gridSpan w:val="4"/>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By:</w:t>
            </w:r>
          </w:p>
        </w:tc>
        <w:tc>
          <w:tcPr>
            <w:tcW w:w="113" w:type="dxa"/>
            <w:tcBorders/>
            <w:vAlign w:val="center"/>
          </w:tcPr>
          <w:p>
            <w:pPr>
              <w:pStyle w:val="TableContents"/>
              <w:bidi w:val="0"/>
              <w:spacing w:before="0" w:after="283"/>
              <w:jc w:val="left"/>
              <w:rPr/>
            </w:pPr>
            <w:r>
              <w:rPr/>
              <w:t> </w:t>
            </w:r>
          </w:p>
        </w:tc>
        <w:tc>
          <w:tcPr>
            <w:tcW w:w="3693"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1141" w:type="dxa"/>
            <w:tcBorders/>
            <w:vAlign w:val="center"/>
          </w:tcPr>
          <w:p>
            <w:pPr>
              <w:pStyle w:val="TableContents"/>
              <w:bidi w:val="0"/>
              <w:spacing w:before="0" w:after="283"/>
              <w:jc w:val="left"/>
              <w:rPr/>
            </w:pPr>
            <w:r>
              <w:rPr/>
              <w:t>Name:</w:t>
            </w:r>
          </w:p>
        </w:tc>
        <w:tc>
          <w:tcPr>
            <w:tcW w:w="113" w:type="dxa"/>
            <w:tcBorders/>
            <w:vAlign w:val="center"/>
          </w:tcPr>
          <w:p>
            <w:pPr>
              <w:pStyle w:val="TableContents"/>
              <w:bidi w:val="0"/>
              <w:spacing w:before="0" w:after="283"/>
              <w:jc w:val="left"/>
              <w:rPr/>
            </w:pPr>
            <w:r>
              <w:rPr/>
              <w:t> </w:t>
            </w:r>
          </w:p>
        </w:tc>
        <w:tc>
          <w:tcPr>
            <w:tcW w:w="3693" w:type="dxa"/>
            <w:gridSpan w:val="3"/>
            <w:tcBorders/>
            <w:vAlign w:val="center"/>
          </w:tcPr>
          <w:p>
            <w:pPr>
              <w:pStyle w:val="TableContents"/>
              <w:bidi w:val="0"/>
              <w:spacing w:before="0" w:after="283"/>
              <w:jc w:val="left"/>
              <w:rPr/>
            </w:pPr>
            <w:r>
              <w:rPr/>
              <w:t>Xiaopeng He</w:t>
            </w:r>
          </w:p>
        </w:tc>
      </w:tr>
      <w:tr>
        <w:trPr/>
        <w:tc>
          <w:tcPr>
            <w:tcW w:w="1141" w:type="dxa"/>
            <w:tcBorders/>
            <w:vAlign w:val="center"/>
          </w:tcPr>
          <w:p>
            <w:pPr>
              <w:pStyle w:val="TableContents"/>
              <w:bidi w:val="0"/>
              <w:spacing w:before="0" w:after="283"/>
              <w:jc w:val="left"/>
              <w:rPr/>
            </w:pPr>
            <w:r>
              <w:rPr/>
              <w:t>Title:</w:t>
            </w:r>
          </w:p>
        </w:tc>
        <w:tc>
          <w:tcPr>
            <w:tcW w:w="113" w:type="dxa"/>
            <w:tcBorders/>
            <w:vAlign w:val="center"/>
          </w:tcPr>
          <w:p>
            <w:pPr>
              <w:pStyle w:val="TableContents"/>
              <w:bidi w:val="0"/>
              <w:spacing w:before="0" w:after="283"/>
              <w:jc w:val="left"/>
              <w:rPr/>
            </w:pPr>
            <w:r>
              <w:rPr/>
              <w:t> </w:t>
            </w:r>
          </w:p>
        </w:tc>
        <w:tc>
          <w:tcPr>
            <w:tcW w:w="3693" w:type="dxa"/>
            <w:gridSpan w:val="3"/>
            <w:tcBorders/>
            <w:vAlign w:val="center"/>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16,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XPENG INC.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80"/>
        <w:gridCol w:w="120"/>
        <w:gridCol w:w="60"/>
        <w:gridCol w:w="469"/>
        <w:gridCol w:w="76"/>
      </w:tblGrid>
      <w:tr>
        <w:trPr/>
        <w:tc>
          <w:tcPr>
            <w:tcW w:w="9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b/>
                <w:spacing w:val="0"/>
              </w:rPr>
            </w:pPr>
            <w:r>
              <w:rPr>
                <w:b/>
                <w:spacing w:val="0"/>
              </w:rPr>
              <w:t>Contents</w:t>
            </w:r>
          </w:p>
        </w:tc>
        <w:tc>
          <w:tcPr>
            <w:tcW w:w="120"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0"/>
              <w:jc w:val="center"/>
              <w:rPr>
                <w:b/>
                <w:spacing w:val="0"/>
              </w:rPr>
            </w:pPr>
            <w:r>
              <w:rPr>
                <w:b/>
                <w:spacing w:val="0"/>
              </w:rPr>
              <w:t>Page</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1">
              <w:r>
                <w:rPr>
                  <w:rStyle w:val="InternetLink"/>
                  <w:rFonts w:ascii="Times New Roman" w:hAnsi="Times New Roman"/>
                  <w:sz w:val="20"/>
                </w:rPr>
                <w:t xml:space="preserve">Report of Independent Registered Public Accounting Firm (PCAOB ID Number: 1424)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F-2</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2">
              <w:r>
                <w:rPr>
                  <w:rStyle w:val="InternetLink"/>
                  <w:rFonts w:ascii="Times New Roman" w:hAnsi="Times New Roman"/>
                  <w:sz w:val="20"/>
                </w:rPr>
                <w:t>Consolidated Balance Sheets as of December 31,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F-5</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3">
              <w:r>
                <w:rPr>
                  <w:rStyle w:val="InternetLink"/>
                  <w:rFonts w:ascii="Times New Roman" w:hAnsi="Times New Roman"/>
                  <w:sz w:val="20"/>
                </w:rPr>
                <w:t>Consolidated Statements of Comprehensive Loss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F-8</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4">
              <w:r>
                <w:rPr>
                  <w:rStyle w:val="InternetLink"/>
                  <w:rFonts w:ascii="Times New Roman" w:hAnsi="Times New Roman"/>
                  <w:sz w:val="20"/>
                </w:rPr>
                <w:t>Consolidated Statements of Changes in Shareholders’ Equity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F-10</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5">
              <w:r>
                <w:rPr>
                  <w:rStyle w:val="InternetLink"/>
                  <w:rFonts w:ascii="Times New Roman" w:hAnsi="Times New Roman"/>
                  <w:sz w:val="20"/>
                </w:rPr>
                <w:t>Consolidated Statements of Cash Flows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F-13</w:t>
            </w:r>
          </w:p>
        </w:tc>
        <w:tc>
          <w:tcPr>
            <w:tcW w:w="76" w:type="dxa"/>
            <w:tcBorders/>
            <w:vAlign w:val="center"/>
          </w:tcPr>
          <w:p>
            <w:pPr>
              <w:pStyle w:val="TableContents"/>
              <w:bidi w:val="0"/>
              <w:spacing w:before="0" w:after="283"/>
              <w:jc w:val="left"/>
              <w:rPr/>
            </w:pPr>
            <w:r>
              <w:rPr/>
              <w:t> </w:t>
            </w:r>
          </w:p>
        </w:tc>
      </w:tr>
      <w:tr>
        <w:trPr/>
        <w:tc>
          <w:tcPr>
            <w:tcW w:w="948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9480" w:type="dxa"/>
            <w:tcBorders/>
            <w:vAlign w:val="center"/>
          </w:tcPr>
          <w:p>
            <w:pPr>
              <w:pStyle w:val="TableContents"/>
              <w:bidi w:val="0"/>
              <w:spacing w:before="0" w:after="0"/>
              <w:jc w:val="left"/>
              <w:rPr/>
            </w:pPr>
            <w:hyperlink w:anchor="fin36361_6">
              <w:r>
                <w:rPr>
                  <w:rStyle w:val="InternetLink"/>
                  <w:rFonts w:ascii="Times New Roman" w:hAnsi="Times New Roman"/>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F-15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To the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Board of Directors and Shareholders of XPeng Inc.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Opinions on the Financial Statements and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XPeng Inc. and its subsidiaries (the “Company”) as of December 31, 2025 and 2024, and the related consolidated statements of comprehensive loss,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(2013) issued by the Committee of Sponsoring Organizations of the Treadway Commission (COSO).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(2013) issued by the COSO.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for Opinions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Definition and Limitations of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Warranty provisions for domestic vehicle sales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described in Notes 2(r), 15 and 17 to the consolidated financial statements, the Company accrues a warranty liability for vehicles sold. As of December 31, 2025, the accrued warranty liability was RMB1,794.9 million, primarily relating to vehicles sold in Chinese Mainland, the domestic market. Accounting for warranties requires significant judgment by management of the Company to compute an estimate of the future costs to be incurred to repair or replace items under warranties and recalls when identified. Management determines the amount of the liability based on actual claims incurred to date and an estimate of the nature, frequency, and magnitude of the cost of potential claims by utilizing historical experiences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principal considerations for our determination that performing procedures relating to warranty provisions for domestic vehicle sales is a critical audit matter are the significant judgment by management in determining the warranty costs, which in turn led to a high degree of auditor judgment, subjectivity, and effort in performing procedures to evaluate the reasonableness of management’s estimates of the nature, frequency and costs of future claims, and the audit effort involved the use of professionals with specialized skill and knowledge.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estimation of the warranty provisions for domestic vehicle sales, including controls over management’s estimate of the nature, frequency, and magnitude of costs of future claims as well as the completeness and accuracy of actual claims history incurred to date. These procedures also included, among others, (i) evaluating the appropriateness of the model used by management to estimate future claims, (ii) evaluating the reasonableness of significant assumptions employed by management in developing their estimate for (a) the nature and frequency of future claims and (b) the related projected costs to be incurred to repair or replace items under warranty, considering current performance and historical experiences of the Company, (iii) performing a retrospective comparison of forecasts of claims prepared by management in prior periods to actual claims incurred, and (iv) testing the completeness, accuracy and relevance of management’s data relating to the actual claims incurred to date, including testing that such data was appropriately used by management in the estimation of warranty liability. Professionals with specialized skill and knowledge were used to assist in evaluating management’s model and developing an independent estimate of the accrual for warranty provisions for domestic vehicle sales, which was then compared to management’s estimate to evaluate its reasonableness.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Total estimated contract costs to complete technical research and development services contracts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described in Notes 2(s) and 19 to the consolidated financial statements, the Company’s total services and others revenue for the year ended December 31, 2025 was RMB8,340.8 million, which included technical research and development (“R&amp;D”) services revenue derived from a car manufacturer that was recognized based on the Company’s progress towards completion of contract performance obligations using the input method. Management applies significant judgment in estimating total contract costs, comprising labor costs, material costs, and other direct costs, which form the basis for determining the progress towards contract completion.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principal considerations for our determination that performing procedures relating to total estimated contract costs to complete technical R&amp;D services contracts is a critical audit matter are (i) the significant judgment by management when developing the total estimated contract costs to complete the contracts and (ii) a high degree of auditor judgment, subjectivity, and effort in performing procedures and evaluating management’s significant assumptions related to estimating the total contract costs to complete the contracts. </w:t>
      </w:r>
    </w:p>
    <w:p>
      <w:pPr>
        <w:pStyle w:val="TextBody"/>
        <w:bidi w:val="0"/>
        <w:spacing w:before="240" w:after="0"/>
        <w:jc w:val="left"/>
        <w:rPr>
          <w:rFonts w:ascii="Times New Roman" w:hAnsi="Times New Roman"/>
          <w:sz w:val="20"/>
        </w:rPr>
      </w:pPr>
      <w:r>
        <w:rPr>
          <w:rFonts w:ascii="Times New Roman" w:hAnsi="Times New Roman"/>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total contract costs and management’s tracking and recording of actual costs incurred for the contracts. These procedures also included, among others (i) evaluating the appropriateness of the model used by management to calculate progress toward completion and (ii) evaluating the reasonableness of the significant assumptions used by management related to estimating the contract costs to complete the contracts. Evaluating management’s assumptions related to the estimated contract costs involved evaluating whether the assumptions used by management were reasonable by: (i) testing their budgeting process and performing a retrospective review of the estimated contract costs as compared with actual costs incurred to assess the accuracy of management’s historical estimate; and (ii) testing the completeness and accuracy of the actual contract costs incurred, including testing such data was appropriately used by management in the estimation of total contract costs to complete the contracts.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/s/</w:t>
      </w:r>
    </w:p>
    <w:p>
      <w:pPr>
        <w:pStyle w:val="TextBody"/>
        <w:bidi w:val="0"/>
        <w:spacing w:before="240" w:after="0"/>
        <w:jc w:val="left"/>
        <w:rPr>
          <w:rFonts w:ascii="Times New Roman" w:hAnsi="Times New Roman"/>
          <w:sz w:val="20"/>
        </w:rPr>
      </w:pPr>
      <w:r>
        <w:rPr>
          <w:rFonts w:ascii="Times New Roman" w:hAnsi="Times New Roman"/>
          <w:sz w:val="20"/>
        </w:rPr>
        <w:t>PricewaterhouseCoopers Zhong Tian LLP</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Shenzhen, the People’s Republic of China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April 16, 2026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have served as the Company’s auditor since 2019.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AS OF DECEMBER 31, 2024 AND 2025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7940" w:type="dxa"/>
        <w:jc w:val="left"/>
        <w:tblInd w:w="0" w:type="dxa"/>
        <w:tblLayout w:type="fixed"/>
        <w:tblCellMar>
          <w:top w:w="0" w:type="dxa"/>
          <w:left w:w="0" w:type="dxa"/>
          <w:bottom w:w="0" w:type="dxa"/>
          <w:right w:w="0" w:type="dxa"/>
        </w:tblCellMar>
      </w:tblPr>
      <w:tblGrid>
        <w:gridCol w:w="4310"/>
        <w:gridCol w:w="120"/>
        <w:gridCol w:w="60"/>
        <w:gridCol w:w="635"/>
        <w:gridCol w:w="60"/>
        <w:gridCol w:w="60"/>
        <w:gridCol w:w="60"/>
        <w:gridCol w:w="1100"/>
        <w:gridCol w:w="60"/>
        <w:gridCol w:w="120"/>
        <w:gridCol w:w="60"/>
        <w:gridCol w:w="122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18,586,274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17,329,612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3,153,390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6,071,491</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12,931,757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11,388,834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short-term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110,699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296,277</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2(k), 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751,290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3,217,293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deposits, 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452,326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3,020,317</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long-term deposits,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600,472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and notes receivable,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2,449,629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1,996,917</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2,558,756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3,553,054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5,562,922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10,380,668</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w:t>
            </w:r>
          </w:p>
          <w:p>
            <w:pPr>
              <w:pStyle w:val="TableContents"/>
              <w:bidi w:val="0"/>
              <w:spacing w:before="0" w:after="0"/>
              <w:jc w:val="left"/>
              <w:rPr>
                <w:rFonts w:ascii="Times New Roman" w:hAnsi="Times New Roman"/>
                <w:sz w:val="20"/>
              </w:rPr>
            </w:pPr>
            <w:r>
              <w:rPr>
                <w:rFonts w:ascii="Times New Roman" w:hAnsi="Times New Roman"/>
                <w:sz w:val="20"/>
              </w:rPr>
              <w:t>related parties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43,714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102,219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3,135,312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5,296,673</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49,736,069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63,253,827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4,489,036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4,263,542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long-term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1,487,688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1,468,708</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11,521,863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13,527,237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1,261,663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3,730,921</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4,610,469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4,253,168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2,744,424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3,216,526</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4,448,416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6,496,020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1,963,194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2,523,037</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443,283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429,644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32,970,036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39,908,803</w:t>
            </w:r>
          </w:p>
        </w:tc>
        <w:tc>
          <w:tcPr>
            <w:tcW w:w="75" w:type="dxa"/>
            <w:tcBorders/>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82,706,105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103,162,630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AS OF DECEMBER 31,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6890" w:type="dxa"/>
        <w:jc w:val="left"/>
        <w:tblInd w:w="0" w:type="dxa"/>
        <w:tblLayout w:type="fixed"/>
        <w:tblCellMar>
          <w:top w:w="0" w:type="dxa"/>
          <w:left w:w="0" w:type="dxa"/>
          <w:bottom w:w="0" w:type="dxa"/>
          <w:right w:w="0" w:type="dxa"/>
        </w:tblCellMar>
      </w:tblPr>
      <w:tblGrid>
        <w:gridCol w:w="3425"/>
        <w:gridCol w:w="120"/>
        <w:gridCol w:w="60"/>
        <w:gridCol w:w="530"/>
        <w:gridCol w:w="60"/>
        <w:gridCol w:w="120"/>
        <w:gridCol w:w="60"/>
        <w:gridCol w:w="1100"/>
        <w:gridCol w:w="60"/>
        <w:gridCol w:w="120"/>
        <w:gridCol w:w="60"/>
        <w:gridCol w:w="1100"/>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4,609,123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4,282,000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15,181,585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18,001,675</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7,898,896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19,161,724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w:t>
            </w:r>
          </w:p>
          <w:p>
            <w:pPr>
              <w:pStyle w:val="TableContents"/>
              <w:bidi w:val="0"/>
              <w:spacing w:before="0" w:after="0"/>
              <w:jc w:val="left"/>
              <w:rPr>
                <w:rFonts w:ascii="Times New Roman" w:hAnsi="Times New Roman"/>
                <w:sz w:val="20"/>
              </w:rPr>
            </w:pPr>
            <w:r>
              <w:rPr>
                <w:rFonts w:ascii="Times New Roman" w:hAnsi="Times New Roman"/>
                <w:sz w:val="20"/>
              </w:rPr>
              <w:t xml:space="preserve">to </w:t>
            </w:r>
          </w:p>
          <w:p>
            <w:pPr>
              <w:pStyle w:val="TableContents"/>
              <w:bidi w:val="0"/>
              <w:spacing w:before="0" w:after="0"/>
              <w:jc w:val="left"/>
              <w:rPr>
                <w:rFonts w:ascii="Times New Roman" w:hAnsi="Times New Roman"/>
                <w:sz w:val="20"/>
              </w:rPr>
            </w:pPr>
            <w:r>
              <w:rPr>
                <w:rFonts w:ascii="Times New Roman" w:hAnsi="Times New Roman"/>
                <w:sz w:val="20"/>
              </w:rPr>
              <w:t>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1,064</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44,682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281,009</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445,901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55,581</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1,275,716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1,463,065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 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1,858,613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1,837,950</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8,650,636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12,538,698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39,864,883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58,113,349</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5,664,518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6,588,865</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1,345,852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4,246,599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777,697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740,576</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822,719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1,206,014</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24(b)</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341,932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330,353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2,445,776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1,568,284</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11,566,434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14,680,691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51,431,317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72,794,040</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AS OF DECEMBER 31,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40"/>
        <w:gridCol w:w="120"/>
        <w:gridCol w:w="68"/>
        <w:gridCol w:w="297"/>
        <w:gridCol w:w="60"/>
        <w:gridCol w:w="120"/>
        <w:gridCol w:w="60"/>
        <w:gridCol w:w="1175"/>
        <w:gridCol w:w="155"/>
        <w:gridCol w:w="60"/>
        <w:gridCol w:w="60"/>
        <w:gridCol w:w="1220"/>
        <w:gridCol w:w="170"/>
      </w:tblGrid>
      <w:tr>
        <w:trPr/>
        <w:tc>
          <w:tcPr>
            <w:tcW w:w="6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4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365" w:type="dxa"/>
            <w:gridSpan w:val="2"/>
            <w:vMerge w:val="restart"/>
            <w:tcBorders/>
            <w:vAlign w:val="center"/>
          </w:tcPr>
          <w:p>
            <w:pPr>
              <w:pStyle w:val="TableContents"/>
              <w:bidi w:val="0"/>
              <w:spacing w:before="0" w:after="20"/>
              <w:jc w:val="center"/>
              <w:rPr>
                <w:rFonts w:ascii="Times New Roman" w:hAnsi="Times New Roman"/>
                <w:b/>
                <w:sz w:val="16"/>
              </w:rPr>
            </w:pPr>
            <w:r>
              <w:rPr>
                <w:rFonts w:ascii="Times New Roman" w:hAnsi="Times New Roman"/>
                <w:b/>
                <w:sz w:val="16"/>
              </w:rPr>
              <w:t>Note</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0" w:type="dxa"/>
            <w:gridSpan w:val="6"/>
            <w:tcBorders>
              <w:bottom w:val="single" w:sz="8" w:space="0" w:color="000000"/>
            </w:tcBorders>
            <w:tcMar>
              <w:bottom w:w="28" w:type="dxa"/>
            </w:tcMar>
            <w:vAlign w:val="center"/>
          </w:tcPr>
          <w:p>
            <w:pPr>
              <w:pStyle w:val="TableContents"/>
              <w:bidi w:val="0"/>
              <w:spacing w:before="0" w:after="0"/>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664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36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6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6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Class</w:t>
            </w:r>
          </w:p>
          <w:p>
            <w:pPr>
              <w:pStyle w:val="TableContents"/>
              <w:bidi w:val="0"/>
              <w:spacing w:before="0" w:after="0"/>
              <w:jc w:val="left"/>
              <w:rPr/>
            </w:pPr>
            <w:r>
              <w:rPr/>
              <w:t> </w:t>
            </w:r>
            <w:r>
              <w:rPr>
                <w:rFonts w:ascii="Times New Roman" w:hAnsi="Times New Roman"/>
                <w:b/>
                <w:sz w:val="20"/>
              </w:rPr>
              <w:t>A Ordinary shares</w:t>
            </w:r>
          </w:p>
          <w:p>
            <w:pPr>
              <w:pStyle w:val="TableContents"/>
              <w:bidi w:val="0"/>
              <w:spacing w:before="0" w:after="0"/>
              <w:jc w:val="left"/>
              <w:rPr>
                <w:rFonts w:ascii="Times New Roman" w:hAnsi="Times New Roman"/>
                <w:sz w:val="20"/>
              </w:rPr>
            </w:pPr>
            <w:r>
              <w:rPr>
                <w:rFonts w:ascii="Times New Roman" w:hAnsi="Times New Roman"/>
                <w:sz w:val="20"/>
              </w:rPr>
              <w:t>(US$0.00001 par value; 9,250,000,000 and 9,250,000,000 shares authorized, 1,551,709,362 and 1,562,944,610 shares issued, 1,549,404,500 and 1,559,991,508 shares outstanding as of December 31, 2024 and 2025, respectively)</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b/>
              </w:rPr>
            </w:pPr>
            <w:r>
              <w:rPr>
                <w:b/>
              </w:rPr>
              <w:t>105</w:t>
            </w:r>
          </w:p>
        </w:tc>
        <w:tc>
          <w:tcPr>
            <w:tcW w:w="170" w:type="dxa"/>
            <w:tcBorders/>
            <w:vAlign w:val="center"/>
          </w:tcPr>
          <w:p>
            <w:pPr>
              <w:pStyle w:val="TableContents"/>
              <w:bidi w:val="0"/>
              <w:spacing w:before="0" w:after="0"/>
              <w:jc w:val="left"/>
              <w:rPr/>
            </w:pPr>
            <w:r>
              <w:rPr/>
              <w:t> </w:t>
            </w:r>
          </w:p>
        </w:tc>
      </w:tr>
      <w:tr>
        <w:trPr/>
        <w:tc>
          <w:tcPr>
            <w:tcW w:w="6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Class</w:t>
            </w:r>
          </w:p>
          <w:p>
            <w:pPr>
              <w:pStyle w:val="TableContents"/>
              <w:bidi w:val="0"/>
              <w:spacing w:before="0" w:after="0"/>
              <w:jc w:val="left"/>
              <w:rPr/>
            </w:pPr>
            <w:r>
              <w:rPr/>
              <w:t> </w:t>
            </w:r>
            <w:r>
              <w:rPr>
                <w:rFonts w:ascii="Times New Roman" w:hAnsi="Times New Roman"/>
                <w:b/>
                <w:sz w:val="20"/>
              </w:rPr>
              <w:t>B Ordinary shares</w:t>
            </w:r>
          </w:p>
          <w:p>
            <w:pPr>
              <w:pStyle w:val="TableContents"/>
              <w:bidi w:val="0"/>
              <w:spacing w:before="0" w:after="0"/>
              <w:jc w:val="left"/>
              <w:rPr>
                <w:rFonts w:ascii="Times New Roman" w:hAnsi="Times New Roman"/>
                <w:sz w:val="20"/>
              </w:rPr>
            </w:pPr>
            <w:r>
              <w:rPr>
                <w:rFonts w:ascii="Times New Roman" w:hAnsi="Times New Roman"/>
                <w:sz w:val="20"/>
              </w:rPr>
              <w:t>(US$0.00001 par value, 750,000,000 and 750,000,000 shares authorized, 348,708,257 and 348,708,257 shares issued and outstanding as of December 31, 2024 and 2025, respectively)</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b/>
              </w:rPr>
            </w:pPr>
            <w:r>
              <w:rPr>
                <w:b/>
              </w:rPr>
              <w:t>21</w:t>
            </w:r>
          </w:p>
        </w:tc>
        <w:tc>
          <w:tcPr>
            <w:tcW w:w="170" w:type="dxa"/>
            <w:tcBorders/>
            <w:shd w:fill="CCEEFF" w:val="clear"/>
            <w:vAlign w:val="center"/>
          </w:tcPr>
          <w:p>
            <w:pPr>
              <w:pStyle w:val="TableContents"/>
              <w:bidi w:val="0"/>
              <w:spacing w:before="0" w:after="0"/>
              <w:jc w:val="left"/>
              <w:rPr/>
            </w:pPr>
            <w:r>
              <w:rPr/>
              <w:t> </w:t>
            </w:r>
          </w:p>
        </w:tc>
      </w:tr>
      <w:tr>
        <w:trPr/>
        <w:tc>
          <w:tcPr>
            <w:tcW w:w="6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z w:val="20"/>
              </w:rPr>
            </w:pPr>
            <w:r>
              <w:rPr>
                <w:rFonts w:ascii="Times New Roman" w:hAnsi="Times New Roman"/>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70,671,685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b/>
              </w:rPr>
            </w:pPr>
            <w:r>
              <w:rPr>
                <w:b/>
              </w:rPr>
              <w:t>71,236,011</w:t>
            </w:r>
          </w:p>
        </w:tc>
        <w:tc>
          <w:tcPr>
            <w:tcW w:w="170" w:type="dxa"/>
            <w:tcBorders/>
            <w:vAlign w:val="center"/>
          </w:tcPr>
          <w:p>
            <w:pPr>
              <w:pStyle w:val="TableContents"/>
              <w:bidi w:val="0"/>
              <w:spacing w:before="0" w:after="0"/>
              <w:jc w:val="left"/>
              <w:rPr/>
            </w:pPr>
            <w:r>
              <w:rPr/>
              <w:t> </w:t>
            </w:r>
          </w:p>
        </w:tc>
      </w:tr>
      <w:tr>
        <w:trPr/>
        <w:tc>
          <w:tcPr>
            <w:tcW w:w="6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and other reserves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b/>
              </w:rPr>
            </w:pPr>
            <w:r>
              <w:rPr>
                <w:b/>
              </w:rPr>
              <w:t>137,720</w:t>
            </w:r>
          </w:p>
        </w:tc>
        <w:tc>
          <w:tcPr>
            <w:tcW w:w="170" w:type="dxa"/>
            <w:tcBorders/>
            <w:shd w:fill="CCEEFF" w:val="clear"/>
            <w:vAlign w:val="center"/>
          </w:tcPr>
          <w:p>
            <w:pPr>
              <w:pStyle w:val="TableContents"/>
              <w:bidi w:val="0"/>
              <w:spacing w:before="0" w:after="0"/>
              <w:jc w:val="left"/>
              <w:rPr/>
            </w:pPr>
            <w:r>
              <w:rPr/>
              <w:t> </w:t>
            </w:r>
          </w:p>
        </w:tc>
      </w:tr>
      <w:tr>
        <w:trPr/>
        <w:tc>
          <w:tcPr>
            <w:tcW w:w="6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(41,585,549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b/>
              </w:rPr>
            </w:pPr>
            <w:r>
              <w:rPr>
                <w:b/>
              </w:rPr>
              <w:t>(42,767,710</w:t>
            </w:r>
          </w:p>
        </w:tc>
        <w:tc>
          <w:tcPr>
            <w:tcW w:w="170" w:type="dxa"/>
            <w:tcBorders/>
            <w:vAlign w:val="center"/>
          </w:tcPr>
          <w:p>
            <w:pPr>
              <w:pStyle w:val="TableContents"/>
              <w:bidi w:val="0"/>
              <w:spacing w:before="0" w:after="0"/>
              <w:jc w:val="left"/>
              <w:rPr>
                <w:b/>
              </w:rPr>
            </w:pPr>
            <w:r>
              <w:rPr>
                <w:b/>
              </w:rPr>
              <w:t>) </w:t>
            </w:r>
          </w:p>
        </w:tc>
      </w:tr>
      <w:tr>
        <w:trPr/>
        <w:tc>
          <w:tcPr>
            <w:tcW w:w="6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2,093,508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b/>
              </w:rPr>
            </w:pPr>
            <w:r>
              <w:rPr>
                <w:b/>
              </w:rPr>
              <w:t>1,762,443</w:t>
            </w:r>
          </w:p>
        </w:tc>
        <w:tc>
          <w:tcPr>
            <w:tcW w:w="170" w:type="dxa"/>
            <w:tcBorders/>
            <w:shd w:fill="CCEEFF" w:val="clear"/>
            <w:vAlign w:val="center"/>
          </w:tcPr>
          <w:p>
            <w:pPr>
              <w:pStyle w:val="TableContents"/>
              <w:bidi w:val="0"/>
              <w:spacing w:before="0" w:after="0"/>
              <w:jc w:val="left"/>
              <w:rPr/>
            </w:pPr>
            <w:r>
              <w:rPr/>
              <w:t> </w:t>
            </w:r>
          </w:p>
        </w:tc>
      </w:tr>
      <w:tr>
        <w:trPr/>
        <w:tc>
          <w:tcPr>
            <w:tcW w:w="6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31,274,788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b/>
              </w:rPr>
            </w:pPr>
            <w:r>
              <w:rPr>
                <w:b/>
              </w:rPr>
              <w:t>30,368,590</w:t>
            </w:r>
          </w:p>
        </w:tc>
        <w:tc>
          <w:tcPr>
            <w:tcW w:w="170" w:type="dxa"/>
            <w:tcBorders/>
            <w:vAlign w:val="center"/>
          </w:tcPr>
          <w:p>
            <w:pPr>
              <w:pStyle w:val="TableContents"/>
              <w:bidi w:val="0"/>
              <w:spacing w:before="0" w:after="0"/>
              <w:jc w:val="left"/>
              <w:rPr/>
            </w:pPr>
            <w:r>
              <w:rPr/>
              <w:t> </w:t>
            </w:r>
          </w:p>
        </w:tc>
      </w:tr>
      <w:tr>
        <w:trPr/>
        <w:tc>
          <w:tcPr>
            <w:tcW w:w="6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right"/>
              <w:rPr/>
            </w:pPr>
            <w:r>
              <w:rPr/>
              <w:t>82,706,105</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b/>
              </w:rPr>
            </w:pPr>
            <w:r>
              <w:rPr>
                <w:b/>
              </w:rPr>
              <w:t>103,162,630</w:t>
            </w:r>
          </w:p>
        </w:tc>
        <w:tc>
          <w:tcPr>
            <w:tcW w:w="170" w:type="dxa"/>
            <w:tcBorders/>
            <w:shd w:fill="CCEEFF" w:val="clear"/>
            <w:vAlign w:val="center"/>
          </w:tcPr>
          <w:p>
            <w:pPr>
              <w:pStyle w:val="TableContents"/>
              <w:bidi w:val="0"/>
              <w:spacing w:before="0" w:after="0"/>
              <w:jc w:val="left"/>
              <w:rPr/>
            </w:pPr>
            <w:r>
              <w:rPr/>
              <w:t> </w:t>
            </w:r>
          </w:p>
        </w:tc>
      </w:tr>
      <w:tr>
        <w:trPr/>
        <w:tc>
          <w:tcPr>
            <w:tcW w:w="6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12"/>
        <w:gridCol w:w="120"/>
        <w:gridCol w:w="60"/>
        <w:gridCol w:w="487"/>
        <w:gridCol w:w="60"/>
        <w:gridCol w:w="60"/>
        <w:gridCol w:w="60"/>
        <w:gridCol w:w="1175"/>
        <w:gridCol w:w="155"/>
        <w:gridCol w:w="60"/>
        <w:gridCol w:w="60"/>
        <w:gridCol w:w="1175"/>
        <w:gridCol w:w="155"/>
        <w:gridCol w:w="60"/>
        <w:gridCol w:w="60"/>
        <w:gridCol w:w="1175"/>
        <w:gridCol w:w="171"/>
      </w:tblGrid>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7"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2025</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RMB</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28,010,857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35,829,402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68,378,920</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2,665,210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5,036,907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8,340,822</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30,676,067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40,866,309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76,719,742</w:t>
            </w:r>
          </w:p>
        </w:tc>
        <w:tc>
          <w:tcPr>
            <w:tcW w:w="171" w:type="dxa"/>
            <w:tcBorders/>
            <w:vAlign w:val="center"/>
          </w:tcPr>
          <w:p>
            <w:pPr>
              <w:pStyle w:val="TableContents"/>
              <w:bidi w:val="0"/>
              <w:spacing w:before="0" w:after="0"/>
              <w:jc w:val="left"/>
              <w:rPr>
                <w:spacing w:val="0"/>
              </w:rPr>
            </w:pPr>
            <w:r>
              <w:rPr>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p>
            <w:pPr>
              <w:pStyle w:val="TableContents"/>
              <w:bidi w:val="0"/>
              <w:spacing w:before="0" w:after="0"/>
              <w:jc w:val="left"/>
              <w:rPr>
                <w:rFonts w:ascii="Times New Roman" w:hAnsi="Times New Roman"/>
                <w:b/>
                <w:spacing w:val="0"/>
                <w:sz w:val="12"/>
              </w:rPr>
            </w:pPr>
            <w:r>
              <w:rPr>
                <w:rFonts w:ascii="Times New Roman" w:hAnsi="Times New Roman"/>
                <w:b/>
                <w:spacing w:val="0"/>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(28,457,909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(32,866,163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(59,598,391</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(1,767,003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(2,154,378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(2,648,432</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cost of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(30,224,912</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(35,020,541</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(62,246,823</w:t>
            </w:r>
          </w:p>
        </w:tc>
        <w:tc>
          <w:tcPr>
            <w:tcW w:w="171" w:type="dxa"/>
            <w:tcBorders/>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451,155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5,845,768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14,472,919</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p>
            <w:pPr>
              <w:pStyle w:val="TableContents"/>
              <w:bidi w:val="0"/>
              <w:spacing w:before="0" w:after="0"/>
              <w:jc w:val="left"/>
              <w:rPr>
                <w:rFonts w:ascii="Times New Roman" w:hAnsi="Times New Roman"/>
                <w:b/>
                <w:sz w:val="12"/>
              </w:rPr>
            </w:pPr>
            <w:r>
              <w:rPr>
                <w:rFonts w:ascii="Times New Roman" w:hAnsi="Times New Roman"/>
                <w:b/>
                <w:sz w:val="12"/>
              </w:rPr>
              <w: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center"/>
              <w:rPr/>
            </w:pPr>
            <w:r>
              <w:rPr/>
              <w:t>2(u)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(5,276,574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(6,456,734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(9,489,979</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center"/>
              <w:rPr/>
            </w:pPr>
            <w:r>
              <w:rPr/>
              <w:t>2(v)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(6,558,942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(6,870,644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(9,398,456</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center"/>
              <w:rPr/>
            </w:pPr>
            <w:r>
              <w:rPr/>
              <w:t>2(y)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465,588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589,227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1,761,419</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the contingent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234,245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(117,305</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(11,340,589</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(12,503,906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(17,244,321</w:t>
            </w:r>
          </w:p>
        </w:tc>
        <w:tc>
          <w:tcPr>
            <w:tcW w:w="171" w:type="dxa"/>
            <w:tcBorders/>
            <w:shd w:fill="CCEEFF" w:val="clear"/>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(10,889,434</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(6,658,138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(2,771,402</w:t>
            </w:r>
          </w:p>
        </w:tc>
        <w:tc>
          <w:tcPr>
            <w:tcW w:w="171" w:type="dxa"/>
            <w:tcBorders/>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1,260,162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1,374,525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1,163,210</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(268,666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(343,982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(379,931</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loss on derivative liability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(410,417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 gain on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(224,364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(261,991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500,533</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gain (loss) from foreign currency transactions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285,998</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41,934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108,154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44,789</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 (expenses) benefit and share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(10,393,705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(5,830,975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(1,156,803</w:t>
            </w:r>
          </w:p>
        </w:tc>
        <w:tc>
          <w:tcPr>
            <w:tcW w:w="171" w:type="dxa"/>
            <w:tcBorders/>
            <w:shd w:fill="CCEEFF" w:val="clear"/>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center"/>
              <w:rPr/>
            </w:pPr>
            <w:r>
              <w:rPr/>
              <w:t>24(a)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69,780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(13,585</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30,928</w:t>
            </w:r>
          </w:p>
        </w:tc>
        <w:tc>
          <w:tcPr>
            <w:tcW w:w="171" w:type="dxa"/>
            <w:tcBorders/>
            <w:shd w:fill="CCEEFF" w:val="clear"/>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(10,375,775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(5,790,264</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(1,139,460</w:t>
            </w:r>
          </w:p>
        </w:tc>
        <w:tc>
          <w:tcPr>
            <w:tcW w:w="171" w:type="dxa"/>
            <w:tcBorders/>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51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 of XPeng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(10,375,775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(5,790,264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(1,139,460</w:t>
            </w:r>
          </w:p>
        </w:tc>
        <w:tc>
          <w:tcPr>
            <w:tcW w:w="171" w:type="dxa"/>
            <w:tcBorders/>
            <w:shd w:fill="CCEEFF" w:val="clear"/>
            <w:vAlign w:val="center"/>
          </w:tcPr>
          <w:p>
            <w:pPr>
              <w:pStyle w:val="TableContents"/>
              <w:bidi w:val="0"/>
              <w:spacing w:before="0" w:after="0"/>
              <w:jc w:val="left"/>
              <w:rPr>
                <w:b/>
                <w:spacing w:val="0"/>
              </w:rPr>
            </w:pPr>
            <w:r>
              <w:rPr>
                <w:b/>
                <w:spacing w:val="0"/>
              </w:rPr>
              <w:t>) </w:t>
            </w:r>
          </w:p>
        </w:tc>
      </w:tr>
      <w:tr>
        <w:trPr/>
        <w:tc>
          <w:tcPr>
            <w:tcW w:w="5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LOSS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5"/>
        <w:gridCol w:w="120"/>
        <w:gridCol w:w="93"/>
        <w:gridCol w:w="407"/>
        <w:gridCol w:w="60"/>
        <w:gridCol w:w="120"/>
        <w:gridCol w:w="60"/>
        <w:gridCol w:w="1400"/>
        <w:gridCol w:w="155"/>
        <w:gridCol w:w="60"/>
        <w:gridCol w:w="60"/>
        <w:gridCol w:w="1400"/>
        <w:gridCol w:w="155"/>
        <w:gridCol w:w="60"/>
        <w:gridCol w:w="60"/>
        <w:gridCol w:w="1400"/>
        <w:gridCol w:w="170"/>
      </w:tblGrid>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(10,375,775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(5,790,264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(1,139,460</w:t>
            </w:r>
          </w:p>
        </w:tc>
        <w:tc>
          <w:tcPr>
            <w:tcW w:w="170"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286,614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262,870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(331,065</w:t>
            </w:r>
          </w:p>
        </w:tc>
        <w:tc>
          <w:tcPr>
            <w:tcW w:w="170"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comprehensive loss attributable to XPeng Inc</w:t>
            </w:r>
          </w:p>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(10,089,161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(5,527,394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(1,470,525</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ordinary shareholders of XPeng Inc.</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(10,089,161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(5,527,394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(1,470,525</w:t>
            </w:r>
          </w:p>
        </w:tc>
        <w:tc>
          <w:tcPr>
            <w:tcW w:w="170"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ordinary shares used in computing net loss per ordinary share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1,740,921,519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1,891,357,212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1,903,989,310</w:t>
            </w:r>
          </w:p>
        </w:tc>
        <w:tc>
          <w:tcPr>
            <w:tcW w:w="170"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per ordinary share attributable to ordinary shareholders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(0.60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305"/>
        <w:gridCol w:w="7475"/>
      </w:tblGrid>
      <w:tr>
        <w:trPr/>
        <w:tc>
          <w:tcPr>
            <w:tcW w:w="305" w:type="dxa"/>
            <w:tcBorders/>
            <w:vAlign w:val="center"/>
          </w:tcPr>
          <w:p>
            <w:pPr>
              <w:pStyle w:val="TableContents"/>
              <w:bidi w:val="0"/>
              <w:spacing w:before="0" w:after="283"/>
              <w:jc w:val="left"/>
              <w:rPr/>
            </w:pPr>
            <w:r>
              <w:rPr/>
              <w:t>(1)</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was allocated in cost of sales and operating expenses as follows: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3650"/>
        <w:gridCol w:w="120"/>
        <w:gridCol w:w="250"/>
        <w:gridCol w:w="250"/>
        <w:gridCol w:w="60"/>
        <w:gridCol w:w="120"/>
        <w:gridCol w:w="60"/>
        <w:gridCol w:w="800"/>
        <w:gridCol w:w="60"/>
        <w:gridCol w:w="120"/>
        <w:gridCol w:w="60"/>
        <w:gridCol w:w="800"/>
        <w:gridCol w:w="60"/>
        <w:gridCol w:w="120"/>
        <w:gridCol w:w="60"/>
        <w:gridCol w:w="800"/>
        <w:gridCol w:w="75"/>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206,936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234,082</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340,364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329,278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CHANGES IN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5990" w:type="dxa"/>
        <w:jc w:val="left"/>
        <w:tblInd w:w="0" w:type="dxa"/>
        <w:tblLayout w:type="fixed"/>
        <w:tblCellMar>
          <w:top w:w="0" w:type="dxa"/>
          <w:left w:w="0" w:type="dxa"/>
          <w:bottom w:w="0" w:type="dxa"/>
          <w:right w:w="0" w:type="dxa"/>
        </w:tblCellMar>
      </w:tblPr>
      <w:tblGrid>
        <w:gridCol w:w="1805"/>
        <w:gridCol w:w="120"/>
        <w:gridCol w:w="500"/>
        <w:gridCol w:w="60"/>
        <w:gridCol w:w="60"/>
        <w:gridCol w:w="1400"/>
        <w:gridCol w:w="60"/>
        <w:gridCol w:w="120"/>
        <w:gridCol w:w="143"/>
        <w:gridCol w:w="912"/>
        <w:gridCol w:w="60"/>
        <w:gridCol w:w="120"/>
        <w:gridCol w:w="60"/>
        <w:gridCol w:w="1100"/>
        <w:gridCol w:w="155"/>
        <w:gridCol w:w="60"/>
        <w:gridCol w:w="197"/>
        <w:gridCol w:w="858"/>
        <w:gridCol w:w="155"/>
        <w:gridCol w:w="60"/>
        <w:gridCol w:w="80"/>
        <w:gridCol w:w="1485"/>
        <w:gridCol w:w="60"/>
        <w:gridCol w:w="120"/>
        <w:gridCol w:w="86"/>
        <w:gridCol w:w="984"/>
        <w:gridCol w:w="60"/>
        <w:gridCol w:w="120"/>
        <w:gridCol w:w="92"/>
        <w:gridCol w:w="1518"/>
        <w:gridCol w:w="60"/>
        <w:gridCol w:w="120"/>
        <w:gridCol w:w="66"/>
        <w:gridCol w:w="1304"/>
        <w:gridCol w:w="155"/>
        <w:gridCol w:w="60"/>
        <w:gridCol w:w="70"/>
        <w:gridCol w:w="1375"/>
        <w:gridCol w:w="170"/>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Ordinary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Shares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 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Statutory</w:t>
            </w:r>
          </w:p>
          <w:p>
            <w:pPr>
              <w:pStyle w:val="TableContents"/>
              <w:bidi w:val="0"/>
              <w:spacing w:before="0" w:after="0"/>
              <w:jc w:val="center"/>
              <w:rPr/>
            </w:pPr>
            <w:r>
              <w:rPr/>
            </w:r>
          </w:p>
          <w:p>
            <w:pPr>
              <w:pStyle w:val="TableContents"/>
              <w:bidi w:val="0"/>
              <w:spacing w:before="0" w:after="0"/>
              <w:jc w:val="center"/>
              <w:rPr>
                <w:b/>
                <w:spacing w:val="0"/>
              </w:rPr>
            </w:pPr>
            <w:r>
              <w:rPr>
                <w:b/>
                <w:spacing w:val="0"/>
              </w:rPr>
              <w:t>and Other</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br/>
              <w:t>Comprehensive</w:t>
              <w:br/>
              <w:t>Income</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 Value</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07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1,725,402,056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(4,919,170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60,691,019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1,544,024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(25,330,916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36,910,665</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4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9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550,535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550,535</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treasury</w:t>
              <w:br/>
              <w:t>shares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8,571,852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(8,571,852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from treasury</w:t>
              <w:br/>
              <w:t>shares to outstanding ordinary shares for vested RSUs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10,679,408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for vested RSUs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599,886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Contingent consideration classified as</w:t>
              <w:br/>
              <w:t>equity relating to the acquisition of DiDi’s smart auto business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260,546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260,546</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as consideration for the acquisition of DiDi’s smart auto business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58,164,217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3,268,541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3,268,545</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to Volkswagen Group (“Volkswagen”)</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94,079,255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5,427,390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5,427,397</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286,614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286,614</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(10,375,775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(10,375,775</w:t>
            </w:r>
          </w:p>
        </w:tc>
        <w:tc>
          <w:tcPr>
            <w:tcW w:w="17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Appropriations to reserves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2(ab)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53,610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(53,610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4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9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single" w:sz="2" w:space="1" w:color="000000"/>
              </w:rPr>
            </w:pPr>
            <w:r>
              <w:rPr>
                <w:bdr w:val="single" w:sz="2" w:space="1" w:color="000000"/>
              </w:rPr>
              <w:t> </w:t>
            </w:r>
          </w:p>
        </w:tc>
        <w:tc>
          <w:tcPr>
            <w:tcW w:w="13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1,886,817,266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(2,811,614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right"/>
              <w:rPr/>
            </w:pPr>
            <w:r>
              <w:rPr/>
              <w:t>70,198,031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60,035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1,830,638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(35,760,301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right"/>
              <w:rPr/>
            </w:pPr>
            <w:r>
              <w:rPr/>
              <w:t>36,328,527</w:t>
            </w:r>
          </w:p>
        </w:tc>
        <w:tc>
          <w:tcPr>
            <w:tcW w:w="1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9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48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98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double" w:sz="6" w:space="1" w:color="000000"/>
              </w:rPr>
            </w:pPr>
            <w:r>
              <w:rPr>
                <w:bdr w:val="double" w:sz="6" w:space="1" w:color="000000"/>
              </w:rPr>
              <w:t> </w:t>
            </w:r>
          </w:p>
        </w:tc>
        <w:tc>
          <w:tcPr>
            <w:tcW w:w="151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13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CHANGES IN SHAREHOLDERS’ EQUITY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5395" w:type="dxa"/>
        <w:jc w:val="left"/>
        <w:tblInd w:w="0" w:type="dxa"/>
        <w:tblLayout w:type="fixed"/>
        <w:tblCellMar>
          <w:top w:w="0" w:type="dxa"/>
          <w:left w:w="0" w:type="dxa"/>
          <w:bottom w:w="0" w:type="dxa"/>
          <w:right w:w="0" w:type="dxa"/>
        </w:tblCellMar>
      </w:tblPr>
      <w:tblGrid>
        <w:gridCol w:w="1625"/>
        <w:gridCol w:w="120"/>
        <w:gridCol w:w="500"/>
        <w:gridCol w:w="60"/>
        <w:gridCol w:w="60"/>
        <w:gridCol w:w="1400"/>
        <w:gridCol w:w="60"/>
        <w:gridCol w:w="120"/>
        <w:gridCol w:w="143"/>
        <w:gridCol w:w="912"/>
        <w:gridCol w:w="60"/>
        <w:gridCol w:w="120"/>
        <w:gridCol w:w="60"/>
        <w:gridCol w:w="1055"/>
        <w:gridCol w:w="155"/>
        <w:gridCol w:w="60"/>
        <w:gridCol w:w="197"/>
        <w:gridCol w:w="858"/>
        <w:gridCol w:w="155"/>
        <w:gridCol w:w="60"/>
        <w:gridCol w:w="60"/>
        <w:gridCol w:w="1100"/>
        <w:gridCol w:w="155"/>
        <w:gridCol w:w="60"/>
        <w:gridCol w:w="86"/>
        <w:gridCol w:w="984"/>
        <w:gridCol w:w="60"/>
        <w:gridCol w:w="120"/>
        <w:gridCol w:w="92"/>
        <w:gridCol w:w="1518"/>
        <w:gridCol w:w="60"/>
        <w:gridCol w:w="120"/>
        <w:gridCol w:w="66"/>
        <w:gridCol w:w="1304"/>
        <w:gridCol w:w="155"/>
        <w:gridCol w:w="60"/>
        <w:gridCol w:w="74"/>
        <w:gridCol w:w="1371"/>
        <w:gridCol w:w="170"/>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center"/>
          </w:tcPr>
          <w:p>
            <w:pPr>
              <w:pStyle w:val="TableContents"/>
              <w:bidi w:val="0"/>
              <w:spacing w:before="0" w:after="0"/>
              <w:jc w:val="center"/>
              <w:rPr>
                <w:b/>
              </w:rPr>
            </w:pPr>
            <w:r>
              <w:rPr>
                <w:b/>
              </w:rPr>
              <w:t>Treasury Shares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Additional</w:t>
            </w:r>
          </w:p>
          <w:p>
            <w:pPr>
              <w:pStyle w:val="TableContents"/>
              <w:bidi w:val="0"/>
              <w:spacing w:before="0" w:after="0"/>
              <w:jc w:val="center"/>
              <w:rPr/>
            </w:pPr>
            <w:r>
              <w:rPr/>
            </w:r>
          </w:p>
          <w:p>
            <w:pPr>
              <w:pStyle w:val="TableContents"/>
              <w:bidi w:val="0"/>
              <w:spacing w:before="0" w:after="0"/>
              <w:jc w:val="center"/>
              <w:rPr>
                <w:b/>
              </w:rPr>
            </w:pPr>
            <w:r>
              <w:rPr>
                <w:b/>
              </w:rPr>
              <w:t>Paid-in</w:t>
            </w:r>
          </w:p>
          <w:p>
            <w:pPr>
              <w:pStyle w:val="TableContents"/>
              <w:bidi w:val="0"/>
              <w:spacing w:before="0" w:after="0"/>
              <w:jc w:val="center"/>
              <w:rPr>
                <w:b/>
              </w:rPr>
            </w:pPr>
            <w:r>
              <w:rPr>
                <w:b/>
              </w:rPr>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Statutory</w:t>
            </w:r>
          </w:p>
          <w:p>
            <w:pPr>
              <w:pStyle w:val="TableContents"/>
              <w:bidi w:val="0"/>
              <w:spacing w:before="0" w:after="0"/>
              <w:jc w:val="center"/>
              <w:rPr/>
            </w:pPr>
            <w:r>
              <w:rPr/>
            </w:r>
          </w:p>
          <w:p>
            <w:pPr>
              <w:pStyle w:val="TableContents"/>
              <w:bidi w:val="0"/>
              <w:spacing w:before="0" w:after="0"/>
              <w:jc w:val="center"/>
              <w:rPr>
                <w:b/>
              </w:rPr>
            </w:pPr>
            <w:r>
              <w:rPr>
                <w:b/>
              </w:rPr>
              <w:t>and Other</w:t>
            </w:r>
          </w:p>
          <w:p>
            <w:pPr>
              <w:pStyle w:val="TableContents"/>
              <w:bidi w:val="0"/>
              <w:spacing w:before="0" w:after="0"/>
              <w:jc w:val="center"/>
              <w:rPr/>
            </w:pPr>
            <w:r>
              <w:rPr/>
            </w:r>
          </w:p>
          <w:p>
            <w:pPr>
              <w:pStyle w:val="TableContents"/>
              <w:bidi w:val="0"/>
              <w:spacing w:before="0" w:after="0"/>
              <w:jc w:val="center"/>
              <w:rPr>
                <w:b/>
              </w:rPr>
            </w:pPr>
            <w:r>
              <w:rPr>
                <w:b/>
              </w:rPr>
              <w:t>Reserves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r>
          </w:p>
          <w:p>
            <w:pPr>
              <w:pStyle w:val="TableContents"/>
              <w:bidi w:val="0"/>
              <w:spacing w:before="0" w:after="0"/>
              <w:jc w:val="center"/>
              <w:rPr/>
            </w:pPr>
            <w:r>
              <w:rPr/>
            </w:r>
          </w:p>
          <w:p>
            <w:pPr>
              <w:pStyle w:val="TableContents"/>
              <w:bidi w:val="0"/>
              <w:spacing w:before="0" w:after="0"/>
              <w:jc w:val="center"/>
              <w:rPr>
                <w:b/>
              </w:rPr>
            </w:pPr>
            <w:r>
              <w:rPr>
                <w:b/>
              </w:rPr>
              <w:t>Other</w:t>
              <w:br/>
              <w:t>Comprehensive</w:t>
              <w:br/>
              <w:t>Income</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b/>
              </w:rPr>
            </w:pPr>
            <w:r>
              <w:rPr>
                <w:b/>
              </w:rPr>
              <w:t>Note</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Par Value</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6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7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1,886,817,266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(2,811,614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70,198,031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60,035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1,830,638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(35,760,301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36,328,527</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9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473,655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473,655</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treasury shares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7,953,404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(7,953,404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from treasury shares to outstanding ordinary shares for vested RSUs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8,460,156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for vested RSUs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1,010,502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as consideration for the acquisition of DiDi’s smart auto business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5, 22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4,636,447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262,870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262,870</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(5,790,264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(5,790,264</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Appropriations to reserves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2(ab)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34,984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(34,984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9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1,900,417,619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(2,304,862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70,671,685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95,019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2,093,508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(41,585,549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31,274,788</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9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98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double" w:sz="6" w:space="1" w:color="000000"/>
              </w:rPr>
            </w:pPr>
            <w:r>
              <w:rPr>
                <w:bdr w:val="double" w:sz="6" w:space="1" w:color="000000"/>
              </w:rPr>
              <w:t> </w:t>
            </w:r>
          </w:p>
        </w:tc>
        <w:tc>
          <w:tcPr>
            <w:tcW w:w="151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CHANGES IN SHAREHOLDERS’ EQUITY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5250" w:type="dxa"/>
        <w:jc w:val="left"/>
        <w:tblInd w:w="0" w:type="dxa"/>
        <w:tblLayout w:type="fixed"/>
        <w:tblCellMar>
          <w:top w:w="0" w:type="dxa"/>
          <w:left w:w="0" w:type="dxa"/>
          <w:bottom w:w="0" w:type="dxa"/>
          <w:right w:w="0" w:type="dxa"/>
        </w:tblCellMar>
      </w:tblPr>
      <w:tblGrid>
        <w:gridCol w:w="1265"/>
        <w:gridCol w:w="120"/>
        <w:gridCol w:w="60"/>
        <w:gridCol w:w="440"/>
        <w:gridCol w:w="60"/>
        <w:gridCol w:w="60"/>
        <w:gridCol w:w="60"/>
        <w:gridCol w:w="1400"/>
        <w:gridCol w:w="60"/>
        <w:gridCol w:w="120"/>
        <w:gridCol w:w="143"/>
        <w:gridCol w:w="912"/>
        <w:gridCol w:w="60"/>
        <w:gridCol w:w="120"/>
        <w:gridCol w:w="60"/>
        <w:gridCol w:w="1175"/>
        <w:gridCol w:w="155"/>
        <w:gridCol w:w="60"/>
        <w:gridCol w:w="197"/>
        <w:gridCol w:w="858"/>
        <w:gridCol w:w="155"/>
        <w:gridCol w:w="60"/>
        <w:gridCol w:w="60"/>
        <w:gridCol w:w="1100"/>
        <w:gridCol w:w="155"/>
        <w:gridCol w:w="60"/>
        <w:gridCol w:w="74"/>
        <w:gridCol w:w="996"/>
        <w:gridCol w:w="60"/>
        <w:gridCol w:w="120"/>
        <w:gridCol w:w="92"/>
        <w:gridCol w:w="1518"/>
        <w:gridCol w:w="155"/>
        <w:gridCol w:w="60"/>
        <w:gridCol w:w="66"/>
        <w:gridCol w:w="1304"/>
        <w:gridCol w:w="155"/>
        <w:gridCol w:w="60"/>
        <w:gridCol w:w="74"/>
        <w:gridCol w:w="1371"/>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0"/>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center"/>
          </w:tcPr>
          <w:p>
            <w:pPr>
              <w:pStyle w:val="TableContents"/>
              <w:bidi w:val="0"/>
              <w:spacing w:before="0" w:after="0"/>
              <w:jc w:val="center"/>
              <w:rPr>
                <w:b/>
              </w:rPr>
            </w:pPr>
            <w:r>
              <w:rPr>
                <w:b/>
              </w:rPr>
              <w:t>Treasury Shares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Additional</w:t>
            </w:r>
          </w:p>
          <w:p>
            <w:pPr>
              <w:pStyle w:val="TableContents"/>
              <w:bidi w:val="0"/>
              <w:spacing w:before="0" w:after="0"/>
              <w:jc w:val="center"/>
              <w:rPr/>
            </w:pPr>
            <w:r>
              <w:rPr/>
            </w:r>
          </w:p>
          <w:p>
            <w:pPr>
              <w:pStyle w:val="TableContents"/>
              <w:bidi w:val="0"/>
              <w:spacing w:before="0" w:after="0"/>
              <w:jc w:val="center"/>
              <w:rPr>
                <w:b/>
              </w:rPr>
            </w:pPr>
            <w:r>
              <w:rPr>
                <w:b/>
              </w:rPr>
              <w:t>Paid-in</w:t>
            </w:r>
          </w:p>
          <w:p>
            <w:pPr>
              <w:pStyle w:val="TableContents"/>
              <w:bidi w:val="0"/>
              <w:spacing w:before="0" w:after="0"/>
              <w:jc w:val="center"/>
              <w:rPr>
                <w:b/>
              </w:rPr>
            </w:pPr>
            <w:r>
              <w:rPr>
                <w:b/>
              </w:rPr>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Statutory</w:t>
            </w:r>
          </w:p>
          <w:p>
            <w:pPr>
              <w:pStyle w:val="TableContents"/>
              <w:bidi w:val="0"/>
              <w:spacing w:before="0" w:after="0"/>
              <w:jc w:val="center"/>
              <w:rPr/>
            </w:pPr>
            <w:r>
              <w:rPr/>
            </w:r>
          </w:p>
          <w:p>
            <w:pPr>
              <w:pStyle w:val="TableContents"/>
              <w:bidi w:val="0"/>
              <w:spacing w:before="0" w:after="0"/>
              <w:jc w:val="center"/>
              <w:rPr>
                <w:b/>
              </w:rPr>
            </w:pPr>
            <w:r>
              <w:rPr>
                <w:b/>
              </w:rPr>
              <w:t>and Other</w:t>
            </w:r>
          </w:p>
          <w:p>
            <w:pPr>
              <w:pStyle w:val="TableContents"/>
              <w:bidi w:val="0"/>
              <w:spacing w:before="0" w:after="0"/>
              <w:jc w:val="center"/>
              <w:rPr/>
            </w:pPr>
            <w:r>
              <w:rPr/>
            </w:r>
          </w:p>
          <w:p>
            <w:pPr>
              <w:pStyle w:val="TableContents"/>
              <w:bidi w:val="0"/>
              <w:spacing w:before="0" w:after="0"/>
              <w:jc w:val="center"/>
              <w:rPr>
                <w:b/>
              </w:rPr>
            </w:pPr>
            <w:r>
              <w:rPr>
                <w:b/>
              </w:rPr>
              <w:t>Reserves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r>
          </w:p>
          <w:p>
            <w:pPr>
              <w:pStyle w:val="TableContents"/>
              <w:bidi w:val="0"/>
              <w:spacing w:before="0" w:after="0"/>
              <w:jc w:val="center"/>
              <w:rPr/>
            </w:pPr>
            <w:r>
              <w:rPr/>
            </w:r>
          </w:p>
          <w:p>
            <w:pPr>
              <w:pStyle w:val="TableContents"/>
              <w:bidi w:val="0"/>
              <w:spacing w:before="0" w:after="0"/>
              <w:jc w:val="center"/>
              <w:rPr>
                <w:b/>
              </w:rPr>
            </w:pPr>
            <w:r>
              <w:rPr>
                <w:b/>
              </w:rPr>
              <w:t>Other</w:t>
              <w:br/>
              <w:t>Comprehensive</w:t>
              <w:br/>
              <w:t>Income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rPr>
            </w:pPr>
            <w:r>
              <w:rPr>
                <w:b/>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rPr>
            </w:pPr>
            <w:r>
              <w:rPr>
                <w:b/>
              </w:rPr>
              <w:t>Par Value</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6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7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1,900,417,619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(2,304,862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70,671,685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95,019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2,093,508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(41,585,549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31,274,788</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9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564,327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564,327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treasury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10,252,280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(10,252,280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from treasury shares to outstanding ordinary shares for vested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9,604,040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for vested RSUs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982,968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(331,065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(331,065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(1,139,460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(1,139,460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Appropriations to reserves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2(ab)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42,701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(42,701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91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9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7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1,911,652,867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(2,953,102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71,236,011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137,720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1,762,443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(42,767,710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30,368,590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91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99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double" w:sz="6" w:space="1" w:color="000000"/>
              </w:rPr>
            </w:pPr>
            <w:r>
              <w:rPr>
                <w:bdr w:val="double" w:sz="6" w:space="1" w:color="000000"/>
              </w:rPr>
              <w:t> </w:t>
            </w:r>
          </w:p>
        </w:tc>
        <w:tc>
          <w:tcPr>
            <w:tcW w:w="151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7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51"/>
        <w:gridCol w:w="120"/>
        <w:gridCol w:w="563"/>
        <w:gridCol w:w="60"/>
        <w:gridCol w:w="60"/>
        <w:gridCol w:w="1175"/>
        <w:gridCol w:w="155"/>
        <w:gridCol w:w="60"/>
        <w:gridCol w:w="60"/>
        <w:gridCol w:w="1055"/>
        <w:gridCol w:w="155"/>
        <w:gridCol w:w="60"/>
        <w:gridCol w:w="60"/>
        <w:gridCol w:w="1100"/>
        <w:gridCol w:w="171"/>
      </w:tblGrid>
      <w:tr>
        <w:trPr/>
        <w:tc>
          <w:tcPr>
            <w:tcW w:w="53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3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1" w:type="dxa"/>
            <w:tcBorders/>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2025</w:t>
            </w:r>
          </w:p>
        </w:tc>
        <w:tc>
          <w:tcPr>
            <w:tcW w:w="171" w:type="dxa"/>
            <w:tcBorders/>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(10,375,775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(5,790,264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(1,139,460</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1,645,760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1,571,754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1,804,658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230,501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537,669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567,390</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182,195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413,349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540,068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48,828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49,868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75,819</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of disposal of property, plant and equipment</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2(m)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4,863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21,787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25,967</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of disposal of intangible assets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651</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81,814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137,519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109,471</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885</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expected credit loss of accounts receivable</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2(j)</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18,222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20,328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66,205</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expected credit loss (gain) of installment payment receivables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2(j)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47,352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63,195</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expected credit loss (gain) of other current assets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2(j)</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4,783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(3,102</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write-downs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2(l),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1,054,711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943,734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555,368</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 (gain) loss from foreign currency transactions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(97,080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49,543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(285,998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(352,179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(40,244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(168,325</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550,535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473,655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564,327</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loss on derivative assets or derivative liabilities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410,417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the contingent consideration</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(234,245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117,305</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 (gain) on long-term investments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224,364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261,991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(500,533</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(54,740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29,069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(30,928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effects of acquisition:</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and notes receivable</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1,138,408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246,259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386,507</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(2,358,763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(1,060,210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(5,772,107</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34,176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(30,766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(58,505</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329,654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(321,139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(2,188,536</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150,944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(40,163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(34,424</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6,189,745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1,690,441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2,820,090</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payable</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1,766,188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(820,391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11,262,828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(62,086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(11,579</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216,694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798,492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570,644</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(172,612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(405,680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(535,095</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1,089,108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1,533,014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3,443,333</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443,545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(904,361</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Installment payment receivables</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(1,473,594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(2,080,971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(3,105,097</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(8,300</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(21,912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30,168</w:t>
            </w:r>
          </w:p>
        </w:tc>
        <w:tc>
          <w:tcPr>
            <w:tcW w:w="171" w:type="dxa"/>
            <w:tcBorders/>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956,164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(2,012,343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8,258,529</w:t>
            </w:r>
          </w:p>
        </w:tc>
        <w:tc>
          <w:tcPr>
            <w:tcW w:w="171" w:type="dxa"/>
            <w:tcBorders/>
            <w:shd w:fill="CCEEFF" w:val="clear"/>
            <w:vAlign w:val="center"/>
          </w:tcPr>
          <w:p>
            <w:pPr>
              <w:pStyle w:val="TableContents"/>
              <w:bidi w:val="0"/>
              <w:spacing w:before="0" w:after="283"/>
              <w:jc w:val="left"/>
              <w:rPr/>
            </w:pPr>
            <w:r>
              <w:rPr/>
              <w:t> </w:t>
            </w:r>
          </w:p>
        </w:tc>
      </w:tr>
      <w:tr>
        <w:trPr/>
        <w:tc>
          <w:tcPr>
            <w:tcW w:w="53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2023, 2024 AND 2025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25"/>
        <w:gridCol w:w="120"/>
        <w:gridCol w:w="93"/>
        <w:gridCol w:w="407"/>
        <w:gridCol w:w="60"/>
        <w:gridCol w:w="120"/>
        <w:gridCol w:w="60"/>
        <w:gridCol w:w="1100"/>
        <w:gridCol w:w="155"/>
        <w:gridCol w:w="60"/>
        <w:gridCol w:w="60"/>
        <w:gridCol w:w="1100"/>
        <w:gridCol w:w="155"/>
        <w:gridCol w:w="60"/>
        <w:gridCol w:w="60"/>
        <w:gridCol w:w="1100"/>
        <w:gridCol w:w="170"/>
      </w:tblGrid>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Maturity (Placement) of short-term deposits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5,441,363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(2,984,153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1,206,328</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Maturity (Placement) of short-term investments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524,172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62,799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(2,305,091</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(Placement) Maturity of long-term deposits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(2,548,847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5,179,690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(2,192,304</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Placement of restricted short-term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(588,000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(619,100</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Maturity of restricted short-term deposits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558,000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433,100</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Placement of restricted long-term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(550,000</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(2,096,326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(2,226,111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(3,155,865</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Receipt of government subsidy related to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60,543</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intangible 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(124,838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(196,901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(191,192</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Disposal of property, plant and equipment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169,539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52,431</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land use rights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(90,341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Disposal of long-term investments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82,357</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long-term investments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(188,681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(144,237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(103,016</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acquired relating to a business combination</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684,214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an asset acquisition, net of cash acquired</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(509,872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retained asset-backed notes and securities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(80,250</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maturities of retained asset-backed notes and securities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27,577</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631,168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(1,255,099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(7,334,482</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ordinary shares to Volkswagen Group</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5,019,599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8,271,823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10,718,107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8,870,092</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borrowings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(5,162,232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(9,489,570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(8,293,531</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amounts to a related party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(27,449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debt from third party investors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finance lease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(113,943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(31,767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(61,801</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8,015,247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514,760</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cash equivalents and restricted cash</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35,736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222,632</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9,588,003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(2,562,385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1,661,439</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the year</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14,714,046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24,302,049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21,739,664</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the year</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24,302,049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21,739,664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23,401,103</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flows information</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 net of amounts capitalized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(306,656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(465,031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(503,740</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(33,635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(17,259</w:t>
            </w:r>
          </w:p>
        </w:tc>
        <w:tc>
          <w:tcPr>
            <w:tcW w:w="170" w:type="dxa"/>
            <w:tcBorders/>
            <w:vAlign w:val="center"/>
          </w:tcPr>
          <w:p>
            <w:pPr>
              <w:pStyle w:val="TableContents"/>
              <w:bidi w:val="0"/>
              <w:spacing w:before="0" w:after="283"/>
              <w:jc w:val="left"/>
              <w:rPr/>
            </w:pPr>
            <w:r>
              <w:rPr/>
              <w:t>)</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property, plant and equipment included in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1,723,130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1,799,882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2,282,932</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acquired relating to a business combination</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684,214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an asset acquisition</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(710,479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acquired relating to an asset acquisition</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Ordinary shares issued for the acquisition of DiDi’s smart auto business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3,087,849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contingent consideration relating to the acquisition of DiDi’s smart auto business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694,357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360" w:after="0"/>
        <w:jc w:val="left"/>
        <w:rPr>
          <w:rFonts w:ascii="Times New Roman" w:hAnsi="Times New Roman"/>
          <w:b/>
          <w:sz w:val="20"/>
        </w:rPr>
      </w:pPr>
      <w:r>
        <w:rPr>
          <w:rFonts w:ascii="Times New Roman" w:hAnsi="Times New Roman"/>
          <w:b/>
          <w:sz w:val="20"/>
        </w:rPr>
        <w:t xml:space="preserve">1. Organization and Nature of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Principal activities </w:t>
      </w:r>
    </w:p>
    <w:p>
      <w:pPr>
        <w:pStyle w:val="TextBody"/>
        <w:bidi w:val="0"/>
        <w:spacing w:before="120" w:after="0"/>
        <w:jc w:val="left"/>
        <w:rPr>
          <w:rFonts w:ascii="Times New Roman" w:hAnsi="Times New Roman"/>
          <w:sz w:val="20"/>
        </w:rPr>
      </w:pPr>
      <w:r>
        <w:rPr>
          <w:rFonts w:ascii="Times New Roman" w:hAnsi="Times New Roman"/>
          <w:sz w:val="20"/>
        </w:rPr>
        <w:t xml:space="preserve">XPeng Inc. (“XPeng” or the “Company”) was incorporated under the laws of the Cayman Islands on December 27, 2018, as an exempted company with limited liability. The Company, its subsidiaries and consolidated variable interest entity (“VIE”) and VIE’s subsidiaries (“VIEs”, also refer to VIE and its subsidiaries as a whole, where appropriate) are collectively referred to as the “Group”.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designs, develops and delivers smart electric vehicles and new energy vehicles. It manufactures all vehicles through its own plants in Zhaoqing and Guangzhou, and its own manufacturing base in Wuhan. As of December 31, 2024 and 2025, its primary operations are conducted in the People’s Republic of China (“PRC”).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Initial public offering and global offering </w:t>
      </w:r>
    </w:p>
    <w:p>
      <w:pPr>
        <w:pStyle w:val="TextBody"/>
        <w:bidi w:val="0"/>
        <w:spacing w:before="120" w:after="0"/>
        <w:jc w:val="left"/>
        <w:rPr>
          <w:rFonts w:ascii="Times New Roman" w:hAnsi="Times New Roman"/>
          <w:sz w:val="20"/>
        </w:rPr>
      </w:pPr>
      <w:r>
        <w:rPr>
          <w:rFonts w:ascii="Times New Roman" w:hAnsi="Times New Roman"/>
          <w:sz w:val="20"/>
        </w:rPr>
        <w:t xml:space="preserve">In August and December 2020, the Company completed its initial public offering (“IPO”)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follow-on</w:t>
      </w:r>
    </w:p>
    <w:p>
      <w:pPr>
        <w:pStyle w:val="TextBody"/>
        <w:bidi w:val="0"/>
        <w:spacing w:before="120" w:after="0"/>
        <w:jc w:val="left"/>
        <w:rPr>
          <w:rFonts w:ascii="Times New Roman" w:hAnsi="Times New Roman"/>
          <w:sz w:val="20"/>
        </w:rPr>
      </w:pPr>
      <w:r>
        <w:rPr>
          <w:rFonts w:ascii="Times New Roman" w:hAnsi="Times New Roman"/>
          <w:sz w:val="20"/>
        </w:rPr>
        <w:t xml:space="preserve">offering (“FO”) on the New York Stock Exchange (“NYSE”). </w:t>
      </w:r>
    </w:p>
    <w:p>
      <w:pPr>
        <w:pStyle w:val="TextBody"/>
        <w:bidi w:val="0"/>
        <w:spacing w:before="120" w:after="0"/>
        <w:jc w:val="left"/>
        <w:rPr>
          <w:rFonts w:ascii="Times New Roman" w:hAnsi="Times New Roman"/>
          <w:sz w:val="20"/>
        </w:rPr>
      </w:pPr>
      <w:r>
        <w:rPr>
          <w:rFonts w:ascii="Times New Roman" w:hAnsi="Times New Roman"/>
          <w:sz w:val="20"/>
        </w:rPr>
        <w:t xml:space="preserve">In July 2021, the Company completed its global offering (“Global Offering”), including the Hong Kong Public Offering and the International Offering, on The Stock Exchange of Hong Kong Limited (“HKEX”).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Principal subsidiaries and VIEs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2025, the Company’s principal subsidiaries and VIEs are as follows: </w:t>
      </w:r>
    </w:p>
    <w:p>
      <w:pPr>
        <w:pStyle w:val="TextBody"/>
        <w:bidi w:val="0"/>
        <w:spacing w:before="0" w:after="0"/>
        <w:ind w:left="0" w:right="0" w:hanging="0"/>
        <w:jc w:val="left"/>
        <w:rPr>
          <w:spacing w:val="0"/>
        </w:rPr>
      </w:pPr>
      <w:r>
        <w:rPr>
          <w:spacing w:val="0"/>
        </w:rPr>
        <w:t> </w:t>
      </w:r>
    </w:p>
    <w:p>
      <w:pPr>
        <w:pStyle w:val="TextBody"/>
        <w:bidi w:val="0"/>
        <w:spacing w:before="0" w:after="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3385"/>
        <w:gridCol w:w="120"/>
        <w:gridCol w:w="60"/>
        <w:gridCol w:w="1160"/>
        <w:gridCol w:w="60"/>
        <w:gridCol w:w="120"/>
        <w:gridCol w:w="61"/>
        <w:gridCol w:w="1596"/>
        <w:gridCol w:w="60"/>
        <w:gridCol w:w="120"/>
        <w:gridCol w:w="105"/>
        <w:gridCol w:w="665"/>
        <w:gridCol w:w="275"/>
        <w:gridCol w:w="60"/>
        <w:gridCol w:w="2358"/>
      </w:tblGrid>
      <w:tr>
        <w:trPr/>
        <w:tc>
          <w:tcPr>
            <w:tcW w:w="3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Place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57" w:type="dxa"/>
            <w:gridSpan w:val="2"/>
            <w:tcBorders/>
            <w:vAlign w:val="center"/>
          </w:tcPr>
          <w:p>
            <w:pPr>
              <w:pStyle w:val="TableContents"/>
              <w:bidi w:val="0"/>
              <w:spacing w:before="0" w:after="0"/>
              <w:jc w:val="center"/>
              <w:rPr>
                <w:b/>
                <w:spacing w:val="0"/>
              </w:rPr>
            </w:pPr>
            <w:r>
              <w:rPr>
                <w:b/>
                <w:spacing w:val="0"/>
              </w:rPr>
              <w:t>Date of incorporation</w:t>
              <w:br/>
              <w:t>or acquisition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0" w:type="dxa"/>
            <w:gridSpan w:val="2"/>
            <w:tcBorders/>
            <w:vAlign w:val="center"/>
          </w:tcPr>
          <w:p>
            <w:pPr>
              <w:pStyle w:val="TableContents"/>
              <w:bidi w:val="0"/>
              <w:spacing w:before="0" w:after="0"/>
              <w:jc w:val="center"/>
              <w:rPr>
                <w:b/>
                <w:spacing w:val="0"/>
              </w:rPr>
            </w:pPr>
            <w:r>
              <w:rPr>
                <w:b/>
                <w:spacing w:val="0"/>
              </w:rPr>
              <w:t>Equity</w:t>
              <w:br/>
              <w:t>interest</w:t>
              <w:br/>
              <w:t>held</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358" w:type="dxa"/>
            <w:tcBorders/>
            <w:vAlign w:val="center"/>
          </w:tcPr>
          <w:p>
            <w:pPr>
              <w:pStyle w:val="TableContents"/>
              <w:bidi w:val="0"/>
              <w:spacing w:before="0" w:after="0"/>
              <w:jc w:val="center"/>
              <w:rPr>
                <w:b/>
                <w:spacing w:val="0"/>
              </w:rPr>
            </w:pPr>
            <w:r>
              <w:rPr>
                <w:b/>
                <w:spacing w:val="0"/>
              </w:rPr>
              <w:t>Principal activities</w:t>
            </w:r>
          </w:p>
        </w:tc>
      </w:tr>
      <w:tr>
        <w:trPr/>
        <w:tc>
          <w:tcPr>
            <w:tcW w:w="338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Principal subsidiaries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5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358" w:type="dxa"/>
            <w:tcBorders/>
            <w:shd w:fill="CCEEFF" w:val="clear"/>
            <w:vAlign w:val="center"/>
          </w:tcPr>
          <w:p>
            <w:pPr>
              <w:pStyle w:val="TableContents"/>
              <w:bidi w:val="0"/>
              <w:spacing w:before="0" w:after="283"/>
              <w:jc w:val="left"/>
              <w:rPr>
                <w:sz w:val="4"/>
                <w:szCs w:val="4"/>
              </w:rPr>
            </w:pPr>
            <w:r>
              <w:rPr>
                <w:sz w:val="4"/>
                <w:szCs w:val="4"/>
              </w:rPr>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Chengxingzhidong Motors Technology Co., Ltd. (“Chengxing”)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January 09, 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Investment holding</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Guangzhou Xiaopeng Motors Technology Co., Ltd.(“Xiaopeng Technology”)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May 12, 2016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Design and technology development</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Xiaopeng Motors Manufacturing Co., Ltd.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April 07, 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Design and technology development</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Guangzhou Xiaopeng Autopilot Technology Co., Ltd.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November 18,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Technology development</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Xiaopeng Smart Charging Technology Co., Ltd.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June 22,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 xml:space="preserve">Smart charging technology </w:t>
              <w:br/>
              <w:t>development</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Guangzhou Zhipeng Manufacturing Co., Ltd.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January 14,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Manufacturing of vehicles</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Xiaopeng New Energy Motors Sales (Guangzhou) Co., Ltd.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June 14,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Vehicle wholesale and retail</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Zhaoqing Xiaopeng New Energy Investment Co., Ltd.(“Zhaoqing Xiaopeng New Energy”)</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February 13,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Manufacturing of vehicles</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Zhaoqing Xiaopeng Motors Co., Ltd. (“Zhaoqing Xiaopeng”)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May 18, 2017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Manufacturing of battery</w:t>
              <w:br/>
              <w:t>pack</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Xiaopeng Motors Sales Co., Ltd. (“Xiaopeng Motors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January 08, 2018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Vehicle wholesale and retail</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Xiaopeng Motors Huazhong (Wuhan) Co., Ltd.(“Wuhan Xiaopeng”)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April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Technology development</w:t>
              <w:br/>
              <w:t>and vehicle retail</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Wuhan Xiaopeng Smart Manufacturing Co., Ltd.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August 16,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Manufacturing of battery</w:t>
              <w:br/>
              <w:t>pack and electric drive</w:t>
              <w:br/>
              <w:t>system</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Shanghai Xiaopeng Motors Technology Co., Ltd.(“Shanghai Xiaopeng”)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February 12, 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Technology development</w:t>
              <w:br/>
              <w:t>and vehicle retail</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Shenzhen Xiaopeng Motors Supply Chain Management Co., Ltd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PRC</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January 5, 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Export trading</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XPeng Huitian Holding Limited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BVI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October 12,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Investment holding</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Dogotix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BVI</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October 09,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Investment holding</w:t>
            </w:r>
          </w:p>
        </w:tc>
      </w:tr>
      <w:tr>
        <w:trPr/>
        <w:tc>
          <w:tcPr>
            <w:tcW w:w="3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XPeng (Hong Kong) Limited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Hong Kong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February 12,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pPr>
            <w:r>
              <w:rPr/>
              <w:t>Investment holding</w:t>
            </w:r>
          </w:p>
        </w:tc>
      </w:tr>
      <w:tr>
        <w:trPr/>
        <w:tc>
          <w:tcPr>
            <w:tcW w:w="3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XPeng European Holding B.V.</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Netherlands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January 28,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pPr>
            <w:r>
              <w:rPr/>
              <w:t>Investment holding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Principal subsidiaries and VIEs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(1)The English names of the subsidiaries and VIEs represent the best effort by the management of the Company in translating its Chinese names as they do not have official English name.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Principal subsidiaries and VIEs (continued)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the Company’s principal subsidiaries and VIEs are as follows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46"/>
        <w:gridCol w:w="120"/>
        <w:gridCol w:w="112"/>
        <w:gridCol w:w="913"/>
        <w:gridCol w:w="60"/>
        <w:gridCol w:w="120"/>
        <w:gridCol w:w="60"/>
        <w:gridCol w:w="1432"/>
        <w:gridCol w:w="60"/>
        <w:gridCol w:w="120"/>
        <w:gridCol w:w="2762"/>
      </w:tblGrid>
      <w:tr>
        <w:trPr/>
        <w:tc>
          <w:tcPr>
            <w:tcW w:w="4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Place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92" w:type="dxa"/>
            <w:gridSpan w:val="2"/>
            <w:tcBorders/>
            <w:vAlign w:val="center"/>
          </w:tcPr>
          <w:p>
            <w:pPr>
              <w:pStyle w:val="TableContents"/>
              <w:bidi w:val="0"/>
              <w:spacing w:before="0" w:after="0"/>
              <w:jc w:val="center"/>
              <w:rPr>
                <w:b/>
                <w:spacing w:val="0"/>
              </w:rPr>
            </w:pPr>
            <w:r>
              <w:rPr>
                <w:b/>
                <w:spacing w:val="0"/>
              </w:rPr>
              <w:t>Date of</w:t>
              <w:br/>
              <w:t>incorporation or</w:t>
              <w:br/>
              <w:t>acquisition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62" w:type="dxa"/>
            <w:tcBorders/>
            <w:vAlign w:val="center"/>
          </w:tcPr>
          <w:p>
            <w:pPr>
              <w:pStyle w:val="TableContents"/>
              <w:bidi w:val="0"/>
              <w:spacing w:before="0" w:after="0"/>
              <w:jc w:val="center"/>
              <w:rPr>
                <w:b/>
                <w:spacing w:val="0"/>
              </w:rPr>
            </w:pPr>
            <w:r>
              <w:rPr>
                <w:b/>
                <w:spacing w:val="0"/>
              </w:rPr>
              <w:t>Principal activities</w:t>
            </w:r>
          </w:p>
        </w:tc>
      </w:tr>
      <w:tr>
        <w:trPr/>
        <w:tc>
          <w:tcPr>
            <w:tcW w:w="4446" w:type="dxa"/>
            <w:tcBorders/>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VIEs</w:t>
            </w:r>
          </w:p>
        </w:tc>
        <w:tc>
          <w:tcPr>
            <w:tcW w:w="120" w:type="dxa"/>
            <w:tcBorders/>
            <w:vAlign w:val="center"/>
          </w:tcPr>
          <w:p>
            <w:pPr>
              <w:pStyle w:val="TableContents"/>
              <w:bidi w:val="0"/>
              <w:spacing w:before="0" w:after="0"/>
              <w:jc w:val="left"/>
              <w:rPr>
                <w:spacing w:val="0"/>
              </w:rPr>
            </w:pPr>
            <w:r>
              <w:rPr>
                <w:spacing w:val="0"/>
              </w:rPr>
              <w:t>  </w:t>
            </w:r>
          </w:p>
        </w:tc>
        <w:tc>
          <w:tcPr>
            <w:tcW w:w="1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2762"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Zhipeng IoV Technology Co., Ltd. (“Zhipeng IoV”) (Note 1(c)(i))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May 23, 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Business of development and the operation of an Internet of Vehicles network</w:t>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Yidian Smart Mobility Technology Co., Ltd. (“Yidian Smart Mobility”) (Note 1(c)(ii))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May 24, 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Business of provision of online-hailing services through online platform</w:t>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Xintu Technology Co., Ltd. (“Xintu Technology”) (Note 1(c)(i))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April 27,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Surveying and mapping</w:t>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Guangdong Intelligent Insurance Agent Co., Ltd.</w:t>
            </w:r>
          </w:p>
          <w:p>
            <w:pPr>
              <w:pStyle w:val="TableContents"/>
              <w:bidi w:val="0"/>
              <w:spacing w:before="0" w:after="20"/>
              <w:jc w:val="left"/>
              <w:rPr>
                <w:rFonts w:ascii="Times New Roman" w:hAnsi="Times New Roman"/>
                <w:sz w:val="20"/>
              </w:rPr>
            </w:pPr>
            <w:r>
              <w:rPr>
                <w:rFonts w:ascii="Times New Roman" w:hAnsi="Times New Roman"/>
                <w:sz w:val="20"/>
              </w:rPr>
              <w:t>(“GIIA”, formerly known as Qingdao Miaobao Insurance Agency Co., Ltd.) (Note 1(c)(iii))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July 22,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Insurance agency</w:t>
            </w:r>
          </w:p>
        </w:tc>
      </w:tr>
      <w:tr>
        <w:trPr/>
        <w:tc>
          <w:tcPr>
            <w:tcW w:w="4446" w:type="dxa"/>
            <w:tcBorders/>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VIEs’ subsidiary</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Jiangsu Zhipeng Kongjian Information Technology Co., Ltd. (“Zhipeng Kongjian”, formerly known as Jiangsu Zhitu Technology Co., Ltd., a subsidiary of Xintu Technology) (Note 1(c)(i))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June 23,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Surveying and mapping</w:t>
            </w:r>
          </w:p>
        </w:tc>
      </w:tr>
      <w:tr>
        <w:trPr/>
        <w:tc>
          <w:tcPr>
            <w:tcW w:w="44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Pengxiao Technology Co., Ltd. (“Guangzhou Pengxiao Technology”, a subsidiary of Zhipeng IoV) (Note 1(c)(i))</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PRC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October 11,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right"/>
              <w:rPr/>
            </w:pPr>
            <w:r>
              <w:rPr/>
              <w:t>Business of development and the operation of an Internet of Vehicles network</w:t>
            </w:r>
          </w:p>
        </w:tc>
      </w:tr>
    </w:tbl>
    <w:p>
      <w:pPr>
        <w:pStyle w:val="TextBody"/>
        <w:bidi w:val="0"/>
        <w:spacing w:before="240" w:after="0"/>
        <w:jc w:val="left"/>
        <w:rPr>
          <w:rFonts w:ascii="Times New Roman" w:hAnsi="Times New Roman"/>
          <w:sz w:val="20"/>
        </w:rPr>
      </w:pPr>
      <w:r>
        <w:rPr>
          <w:rFonts w:ascii="Times New Roman" w:hAnsi="Times New Roman"/>
          <w:sz w:val="20"/>
        </w:rPr>
        <w:t xml:space="preserve">(i) Zhipeng IoV which is primarily engaged in the business of development and the operation of an Internet of Vehicles network was established by two shareholders of the Company (the “Zhipeng IoV’s Nominee Shareholders”) on May 23, 2018. On May 28, 2018, Xiaopeng Technology, Zhipeng IoV, and Zhipeng IoV’s Nominee Shareholders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These agreements provide the Company, as the only shareholder of Xiaopeng Technology, with a controlling financial interest under ASC 810 in Zhipeng IoV to direct the activities that most significantly impact Zhipeng IoV’s economic performance and enable the Company to obtain substantially all of the economic benefits arising from Zhipeng IoV. Management concluded that Zhipeng IoV is a variable interest entity of the Company and the Company is the ultimate primary beneficiary of Zhipeng IoV and shall consolidate the financial results of Zhipeng IoV in the Group’s consolidated financial statements under U.S. GAAP. </w:t>
      </w:r>
    </w:p>
    <w:p>
      <w:pPr>
        <w:pStyle w:val="TextBody"/>
        <w:bidi w:val="0"/>
        <w:spacing w:before="120" w:after="0"/>
        <w:jc w:val="left"/>
        <w:rPr>
          <w:rFonts w:ascii="Times New Roman" w:hAnsi="Times New Roman"/>
          <w:sz w:val="20"/>
        </w:rPr>
      </w:pPr>
      <w:r>
        <w:rPr>
          <w:rFonts w:ascii="Times New Roman" w:hAnsi="Times New Roman"/>
          <w:sz w:val="20"/>
        </w:rPr>
        <w:t xml:space="preserve">On April 27, 2021, Zhipeng IoV established Xintu Technology and became the only shareholder of Xintu Technology. On June 23, 2021, Xintu Technology acquired 100% of the equity interest of Zhipeng Kongjian which possesses surveying and mapping qualification certificate, which is determined to be an asset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2021, Guangzhou Kuntu Technology Co., Ltd. (“Kuntu Technology”), a company controlled by the Zhipeng IoV’s Nominee Shareholders, acquired 100% of the equity interest of Xintu Technology from Zhipeng IoV. On the same day, Xiaopeng Technology, Xintu Technology and Kuntu Technology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Xintu Technology. These agreements provide the Company, as the only shareholder of Xiaopeng Technology, with a controlling financial interest under ASC 810 in Xintu Technology to direct the activities that most significantly impact Xintu Technology’s economic performance and enable the Company to obtain substantially all of the economic benefits arising from Xintu Technology. Management concluded that Xintu Technology is a variable interest entity of the Company and the Company is the ultimate primary beneficiary of Xintu Technology and shall consolidate the financial results of Xintu Technology in the Group’s consolidated financial statements under U.S. GAAP. As of December 31, 2025, Xintu Technology did not have significant operations, nor any material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Principal subsidiaries and VIEs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September 6, 2021, Xiaopeng Technology (wholly owned by the Company) acquired 50% equity interests in Zhipeng IoV from Zhipeng IoV’s Nominee Shareholders. At the same time, the aforementioned contractual agreements had been modified to reflect the change of equity interests in Zhipeng IoV. Xiaopeng Technology, Zhipeng IoV, and Zhipeng IoV’s Nominee Shareholders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On April 20, 2024, the original Nominee Shareholders of Zhipeng IoV changed to a new Nominee Shareholder, who is an employee from the Group, and the aforementioned contractual agreements had been modified to reflect the change of nominee shareholders of Zhipeng IoV. Xiaopeng Technology, Zhipeng IoV, and Zhipeng IoV’s new Nominee Shareholder entered into a series of contractual agreements, including an equity interest pledge agreement, a loan agreement, exclusive service agreement, exclusive call option agreement and power of attorney that irrevocably authorized Xiaopeng Technology to exercise the equity owner’s rights over Zhipeng IoV. These agreements, coupled with its 50% equity interest, results in the Company, being the VIE’s primary beneficiary, with a controlling financial interest under ASC 810 in Zhipeng IoV, to direct the activities that most significantly impact Zhipeng IoV’s economic performance and enable the Company to obtain substantially all of the economic benefits arising from Zhipeng IoV. Accordingly, the Company continued to consolidate the financial results of Zhipeng IoV under U.S. GAAP. On October 11, 2024, Zhipeng IoV established a wholly-owned subsidiary, Guangzhou Pengxiao Technology. As of December 31, 2025, Zhipeng IoV did not have significant operations, nor any material assets or liabilities.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(ii) Yidian Smart Mobility which is primarily engaged in the business of provision of online-hailing services through online platform was established by two shareholders of the Company (the “Yidian Smart Mobility‘s Nominee Shareholders”) on May 24, 2018. On May 28, 2018, Guangzhou Xiaopeng Smart Mobility Technology Co., Ltd, (“Xiaopeng Smart Mobility”), Yidian Smart Mobility, and Yidian Smart Mobility‘s Nominee Shareholders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These agreements provide the Company, as the only shareholder of Xiaopeng Smart Mobility, with a controlling financial interest under ASC 810 in Yidian Smart Mobility to direct the activities that most significantly impact Yidian Smart Mobility’s economic performance and enable the Company to obtain substantially all of the economic benefits arising from Yidian Smart Mobility. Management concluded that Yidian Smart Mobility is a variable interest entity of the Company and the Company is the ultimate primary beneficiary of Yidian Smart Mobility and shall consolidate the financial results of Yidian Smart Mobility in the Group’s consolidated financial statements under U.S. GAAP.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On September 10, 2021, Xiaopeng Smart Mobility (wholly owned by the Company) acquired</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50</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equity interests in Yidian Smart Mobility from Yidian Smart Mobility’s Nominee Shareholders. At the same time, the aforementioned contractual agreements have been modified to reflect the change of equity interests in Yidian Smart Mobility. Xiaopeng Smart Mobility, Yidian Smart Mobility, and Yidian Smart Mobility’s Nominee Shareholders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On April 20, 2024, the original Nominee Shareholders of Yidian Smart Mobility changed to a new Nominee Shareholder, who is an employee from the Group, and the aforementioned contractual agreements had been modified to reflect the change of nominee shareholders of Yidian Smart Mobility. Xiaopeng Smart Mobility, Yidian Smart Mobility, and Yidian Smart Mobility’s new Nominee Shareholder entered into a series of contractual agreements, including an equity interest pledge agreement, a loan agreement, exclusive service agreement, exclusive call option agreement and power of attorney that irrevocably authorized Xiaopeng Smart Mobility to exercise the equity owner’s rights over Yidian Smart Mobility. These agreements, coupled with its 50% equity interest, results in the Company, being the VIE’s primary beneficiary, with a controlling financial interest under ASC 810 in Yidian Smart Mobility, to direct the activities that most significantly impact Yidian Smart Mobility’s economic performance and enable the Company to obtain substantially all of the economic benefits arising from Yidian Smart Mobility. Accordingly, the Company continued to consolidate the financial result of Yidian Smart Mobility under U.S. GAAP. As of December 31, 2025, Yidian Smart Mobility did not have significant operations, nor any material assets or liabilities.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Principal subsidiaries and VIEs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(iii) GIIA, primarily engaged in the business of insurance agency services and established in 2007, was acquired by Guangzhou Xuetao Enterprise Management Co., Ltd. (“Guangzhou Xuetao”), a company jointly established by the former senior vice president of the Company and his spouse (the “GIIA’s Nominee Shareholders”). On July 22, 2022, Xiaopeng Motors Sales (wholly owned by the Company), Guangzhou Xuetao and GIIA’s Nominee Shareholders entered into a cooperation agreement that Guangzhou Xuetao irrevocably authorized Xiaopeng Motors Sales to exercise the 100% equity owner’s rights over GIIA. The agreement provides the Company, as the only shareholder of Xiaopeng Motors Sales, with a controlling financial interest under ASC 810 in GIIA to direct the activities that most significantly impact GIIA’s economic performance and enable the Company to obtain substantially all of the economic benefits arising from GIIA. As a result of this contractual arrangement, management concluded that GIIA is a VIE of the Company and the Company is the ultimate primary beneficiary of GIIA and shall consolidate the financial results of GIIA in the Group’s consolidated financial statements under U.S. GAAP. </w:t>
      </w:r>
    </w:p>
    <w:p>
      <w:pPr>
        <w:pStyle w:val="TextBody"/>
        <w:bidi w:val="0"/>
        <w:spacing w:before="120" w:after="0"/>
        <w:jc w:val="left"/>
        <w:rPr>
          <w:rFonts w:ascii="Times New Roman" w:hAnsi="Times New Roman"/>
          <w:sz w:val="20"/>
        </w:rPr>
      </w:pPr>
      <w:r>
        <w:rPr>
          <w:rFonts w:ascii="Times New Roman" w:hAnsi="Times New Roman"/>
          <w:sz w:val="20"/>
        </w:rPr>
        <w:t xml:space="preserve">On January 31, 2024, this cooperation agreement was terminated and new contractual agreements that irrevocably authorized Xiaopeng Motors Sales to exercise the equity owner’s rights over GIIA, including an equity interest pledge agreement, a loan agreement, exclusive service agreement, exclusive call option agreement and power of attorney, were entered into among GIIA, Xiaopeng Motors Sales, Guangzhou Xuetao and a new nominee shareholder of Guangzhou Xuetao, who is the Group’s employee. These agreements provide the Company, as the only shareholder of Xiaopeng Motors Sales, with a controlling financial interest under ASC 810 in GIIA to direct the activities that most significantly impact GIIA’s economic performance and enable the Company to obtain substantially all of the economic benefits arising from GIIA. Management concluded that GIIA is a variable interest entity of the Company and the Company is the ultimate primary beneficiary of GIIA and shall consolidate the financial results of GIIA in the Group’s consolidated financial statements under 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GAAP. As of December 31, 2025, GIIA did not have significant operations, nor any material asset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 Organization and Nature of Operations (continued) </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20"/>
        </w:rPr>
      </w:pPr>
      <w:r>
        <w:rPr>
          <w:rFonts w:ascii="Times New Roman" w:hAnsi="Times New Roman"/>
          <w:b/>
          <w:i/>
          <w:spacing w:val="0"/>
          <w:sz w:val="20"/>
        </w:rPr>
        <w:t xml:space="preserve">(d)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Group has been incurring losses from operations since inception. The Group incurred net losses of RMB10,375,775, RMB5,790,264 and RMB1,139,460 for the years ended December 31, 2023, 2024 and 2025, respectively. Accumulated deficit amounted to RMB41,585,549 and RMB42,767,710 as of December 31, 2024 and 2025, respectively. Net cash provided by operating activities was approximately RMB956,164 for the year ended December 31, 2023. Net cash used in operating activities was approximately RMB2,012,343 for the years ended December 31, 2024. Net cash provided by operating activities was approximately RMB8,258,529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Group’s liquidity is based on its ability to enhance its operating cash flow position, obtain capital financing from equity interest investors and borrow funds to fund its general operations, research and development activities and capital expenditures. The Group’s ability to continue as a going concern is dependent on management’s ability to execute its business plan successfully, which includes increasing market acceptance of the Group’s products to boost its sales volume to achieve economies of scale while applying more effective marketing strategies and cost control measures to better manage operating cash flow position and obtaining funds from outside sources of financing to generate positive financing cash flows. With the completion of its IPO and FO on NYSE in August and December 2020, the Group received the net proceeds, after deducting the underwriting discounts and commissions, fees and offering expenses, of RMB11,409,248 and RMB15,980,227, respectively. In July 2021, with the completion of its Global Offering on HKEX, the Group further received the net proceeds, after deducting the underwriting discounts and commissions, of Hong Kong dollar (HK$)15,823,315.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with the completion of the strategic minority investment by Volkswagen Group (“Volkswagen”), the Group received the net proceeds, after deducting related costs and expenses, of RMB5,019,599.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Group’s balance of cash and cash equivalents, restricted cash, excluding RMB55,637 restricted as to withdrawal or use for legal disputes, short-term deposits, restricted short-term deposits, current portion of restricted long-term deposits, short-term investments, and current portion of long-term deposits was RMB41,868,659. </w:t>
      </w:r>
    </w:p>
    <w:p>
      <w:pPr>
        <w:pStyle w:val="TextBody"/>
        <w:bidi w:val="0"/>
        <w:spacing w:before="120" w:after="0"/>
        <w:jc w:val="left"/>
        <w:rPr>
          <w:rFonts w:ascii="Times New Roman" w:hAnsi="Times New Roman"/>
          <w:sz w:val="20"/>
        </w:rPr>
      </w:pPr>
      <w:r>
        <w:rPr>
          <w:rFonts w:ascii="Times New Roman" w:hAnsi="Times New Roman"/>
          <w:sz w:val="20"/>
        </w:rPr>
        <w:t xml:space="preserve">Management concluded that its existing balance of cash and cash equivalents, restricted cash, short-term deposits, restricted short-term deposits, current portion of restricted long-term deposits, short-term investments and current portion of long-term deposits as of December 31, 2025, provide the Group with sufficient liquidity to meet its working capital requirements and contractual (including debt) obligations for the next twelve months following the issuance of the consolidated financial statements. Accordingly, the consolidated financial statements have been prepared on a going concern basis, which contemplates the realization of assets and liquidation of liabilities during the normal course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Group have been prepared in accordance with accounting principles generally accepted in the United States of America (“U.S. GAAP”) to reflect the financial position, results of operations and cash flows of the Group. Significant accounting policies followed by the Group in the preparation of the accompanying consolidated financial statements are summarized below.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its subsidiaries and the VIEs for which the Company is the ultimate primary beneficiary. All transactions and balances among the Company, its subsidiaries and VIEs have been eliminated upon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investees under a statute or agreement among the shareholders or equity holders. </w:t>
      </w:r>
    </w:p>
    <w:p>
      <w:pPr>
        <w:pStyle w:val="TextBody"/>
        <w:bidi w:val="0"/>
        <w:spacing w:before="120" w:after="0"/>
        <w:jc w:val="left"/>
        <w:rPr>
          <w:rFonts w:ascii="Times New Roman" w:hAnsi="Times New Roman"/>
          <w:sz w:val="20"/>
        </w:rPr>
      </w:pPr>
      <w:r>
        <w:rPr>
          <w:rFonts w:ascii="Times New Roman" w:hAnsi="Times New Roman"/>
          <w:sz w:val="20"/>
        </w:rPr>
        <w:t xml:space="preserve">A VIE is an entity in which the Company, or its subsidiary, through contractual arrangements, bears the risks of, and enjoys the rewards normally associated with, ownership of the entity, and therefore the Company or its subsidiary is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 that could potentially be significant to the VIE or the right to receive benefits from the VIEs that could potentially be significant to the VIEs.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Use of estimates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preparation of the consolidated financial statements in conformity with U.S. GAAP requires management to make estimates and assumptions that affect the reported amounts of assets and liabilities and related disclosures of contingent assets and liabilities at the balance sheet date, and the reported revenues and expenses during the reported period in the consolidated financial statements and accompanying notes. Significant accounting estimates reflected in the Group’s consolidated financial statements primarily include, but are not limited to, the determination of performance obligations and allocation of transaction price to those performance obligations, the determination of the most likely amount of variable considerations of revenue contracts, the determination of the total estimated contracts costs to complete technical research and development service contracts, the determination of the discount rate used to adjust the promised amount of consideration for the effects of a significant financing component, the determination of warranty provision, lower of cost and net realizable value of inventory, losses on purchase commitments relating to inventory, assessment for impairment of long-lived assets and intangible assets, useful lives and residual values of long-lived assets and finite-lived intangible assets, determination of the fair value of derivative liability relating to the contingent consideration in business combination, fair value of assets and liabilities acquired or assumed in business combination, fair value of assets and liabilities acquired or assumed in asset acquisition, recoverability of receivables, valuation of deferred tax assets, determination of share-based compensation expenses, determination of the fair value of debt investments accounted for under the fair value option model as well as subsequent adjustments for equity investments without readily determinable fair values and not accounted for by the equity method. </w:t>
      </w:r>
    </w:p>
    <w:p>
      <w:pPr>
        <w:pStyle w:val="TextBody"/>
        <w:bidi w:val="0"/>
        <w:spacing w:before="120" w:after="0"/>
        <w:jc w:val="left"/>
        <w:rPr>
          <w:rFonts w:ascii="Times New Roman" w:hAnsi="Times New Roman"/>
          <w:sz w:val="20"/>
        </w:rPr>
      </w:pPr>
      <w:r>
        <w:rPr>
          <w:rFonts w:ascii="Times New Roman" w:hAnsi="Times New Roman"/>
          <w:sz w:val="20"/>
        </w:rPr>
        <w:t xml:space="preserve">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Functional currency and foreign currency translation </w:t>
      </w:r>
    </w:p>
    <w:p>
      <w:pPr>
        <w:pStyle w:val="TextBody"/>
        <w:bidi w:val="0"/>
        <w:spacing w:before="120" w:after="0"/>
        <w:jc w:val="left"/>
        <w:rPr>
          <w:rFonts w:ascii="Times New Roman" w:hAnsi="Times New Roman"/>
          <w:sz w:val="20"/>
        </w:rPr>
      </w:pPr>
      <w:r>
        <w:rPr>
          <w:rFonts w:ascii="Times New Roman" w:hAnsi="Times New Roman"/>
          <w:sz w:val="20"/>
        </w:rPr>
        <w:t>The Company uses Renminbi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RMB</w:t>
      </w:r>
    </w:p>
    <w:p>
      <w:pPr>
        <w:pStyle w:val="TextBody"/>
        <w:bidi w:val="0"/>
        <w:spacing w:before="120" w:after="0"/>
        <w:jc w:val="left"/>
        <w:rPr/>
      </w:pPr>
      <w:r>
        <w:rPr/>
        <w:t>”</w:t>
      </w:r>
      <w:r>
        <w:rPr>
          <w:rFonts w:ascii="Times New Roman" w:hAnsi="Times New Roman"/>
          <w:sz w:val="20"/>
        </w:rPr>
        <w:t>) as its reporting currency. The functional currencies of the Company and its subsidiaries which are incorporated in the Cayman Islands, British Virgin Islands, United States, Hong Kong and other regions is United States dollars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US$</w:t>
      </w:r>
    </w:p>
    <w:p>
      <w:pPr>
        <w:pStyle w:val="TextBody"/>
        <w:bidi w:val="0"/>
        <w:spacing w:before="120" w:after="0"/>
        <w:jc w:val="left"/>
        <w:rPr/>
      </w:pPr>
      <w:r>
        <w:rPr/>
        <w:t>”</w:t>
      </w:r>
      <w:r>
        <w:rPr>
          <w:rFonts w:ascii="Times New Roman" w:hAnsi="Times New Roman"/>
          <w:sz w:val="20"/>
        </w:rPr>
        <w:t xml:space="preserve">) or their respective local currencies, while the functional currencies of the other subsidiaries and VIEs which are incorporated in the PRC are RMB. The determination of the respective functional currency is based on the criteria set out by ASC 830, Foreign Currency Matters. </w:t>
      </w:r>
    </w:p>
    <w:p>
      <w:pPr>
        <w:pStyle w:val="TextBody"/>
        <w:bidi w:val="0"/>
        <w:spacing w:before="120" w:after="0"/>
        <w:jc w:val="left"/>
        <w:rPr>
          <w:rFonts w:ascii="Times New Roman" w:hAnsi="Times New Roman"/>
          <w:sz w:val="20"/>
        </w:rPr>
      </w:pPr>
      <w:r>
        <w:rPr>
          <w:rFonts w:ascii="Times New Roman" w:hAnsi="Times New Roman"/>
          <w:sz w:val="20"/>
        </w:rPr>
        <w:t xml:space="preserve">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left"/>
        <w:rPr>
          <w:rFonts w:ascii="Times New Roman" w:hAnsi="Times New Roman"/>
          <w:sz w:val="20"/>
        </w:rPr>
      </w:pPr>
      <w:r>
        <w:rPr>
          <w:rFonts w:ascii="Times New Roman" w:hAnsi="Times New Roman"/>
          <w:sz w:val="20"/>
        </w:rPr>
        <w:t xml:space="preserve">items that are measured in terms of historical cost in foreign currency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re-measured</w:t>
      </w:r>
    </w:p>
    <w:p>
      <w:pPr>
        <w:pStyle w:val="TextBody"/>
        <w:bidi w:val="0"/>
        <w:spacing w:before="120" w:after="0"/>
        <w:jc w:val="left"/>
        <w:rPr>
          <w:rFonts w:ascii="Times New Roman" w:hAnsi="Times New Roman"/>
          <w:sz w:val="20"/>
        </w:rPr>
      </w:pPr>
      <w:r>
        <w:rPr>
          <w:rFonts w:ascii="Times New Roman" w:hAnsi="Times New Roman"/>
          <w:sz w:val="20"/>
        </w:rPr>
        <w:t xml:space="preserve">using the exchange rates at the dates of the initial transactions. Exchange gains or losses arising from foreign currency transactions are included in the consolidated statement of comprehensive loss.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 in the consolidated statement of comprehensive loss, and the accumulated currency translation adjustments are presented as a component of accumulated other comprehensive income in the consolidated statement of changes in shareholders’ equity.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 Business combinations and goodwill </w:t>
      </w:r>
    </w:p>
    <w:p>
      <w:pPr>
        <w:pStyle w:val="TextBody"/>
        <w:bidi w:val="0"/>
        <w:spacing w:before="120" w:after="0"/>
        <w:jc w:val="left"/>
        <w:rPr>
          <w:rFonts w:ascii="Times New Roman" w:hAnsi="Times New Roman"/>
          <w:sz w:val="20"/>
        </w:rPr>
      </w:pPr>
      <w:r>
        <w:rPr>
          <w:rFonts w:ascii="Times New Roman" w:hAnsi="Times New Roman"/>
          <w:sz w:val="20"/>
        </w:rPr>
        <w:t xml:space="preserve">The Group accounts for business combinations under ASC 805, Business Combinations. Business combinations are recorded using the acquisition method of accounting, and the transaction consideration of an acquisition is determined based upon the aggregate fair value at the date of exchange of the assets transferred, liabilities incurred, and equity instruments issued, including any consideration contingent upon future events as defined. The costs directly attributable to the acquisition are expensed as incurred. Identifiable assets and liabilities acquired or assumed are measured separately at their fair value as of the acquisition date, irrespective of the extent of any 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The excess of the total transaction consideration over the aggregate fair value of the acquired identifiable net assets is recorded as goodwill. If the total transaction consideration is less than the fair values of the net assets of the subsidiaries acquired, the difference is recognized directly in the consolidated statements of comprehensive loss.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Goodwill is not amortized but is tested for impairment annually, or more frequently if events or changes in circumstances indicate that it might be impaired, by performing the quantitative test through comparing each reporting unit’s fair value to its carrying value, including goodwill. No impairment provision was made related to the Group’s goodwill for the year ended December 31, 2023,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 Fair value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 </w:t>
      </w:r>
    </w:p>
    <w:p>
      <w:pPr>
        <w:pStyle w:val="TextBody"/>
        <w:bidi w:val="0"/>
        <w:spacing w:before="120" w:after="0"/>
        <w:jc w:val="left"/>
        <w:rPr>
          <w:rFonts w:ascii="Times New Roman" w:hAnsi="Times New Roman"/>
          <w:sz w:val="20"/>
        </w:rPr>
      </w:pPr>
      <w:r>
        <w:rPr>
          <w:rFonts w:ascii="Times New Roman" w:hAnsi="Times New Roman"/>
          <w:sz w:val="20"/>
        </w:rPr>
        <w:t xml:space="preserve">Level I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II — Observable, market-based inputs, other than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III — Unobservable inputs to the valuation methodology that are significant to the measurement of the fair value of the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 Fair value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fair value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t>
      </w:r>
    </w:p>
    <w:p>
      <w:pPr>
        <w:pStyle w:val="TextBody"/>
        <w:bidi w:val="0"/>
        <w:spacing w:before="120" w:after="0"/>
        <w:jc w:val="left"/>
        <w:rPr>
          <w:rFonts w:ascii="Times New Roman" w:hAnsi="Times New Roman"/>
          <w:sz w:val="20"/>
        </w:rPr>
      </w:pPr>
      <w:r>
        <w:rPr>
          <w:rFonts w:ascii="Times New Roman" w:hAnsi="Times New Roman"/>
          <w:sz w:val="20"/>
        </w:rPr>
        <w:t xml:space="preserve">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Financial assets and liabilities that are measured at amortized cost primarily consist of cash and cash equivalents, restricted cash, short-term deposits, restricted short-term deposit, short-term investments, accounts and notes receivable, installment payment receivables, long-term deposits, restricted long-term deposits, equity method investments, other assets, accounts payable, notes payable, short-term borrowings, finance lease liabilities, operating lease liabilities, accruals and other liabilities and long-term borrowings. As of December 31, 2024 and 2025, the carrying values of these financial instruments, except for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portion of long-term deposits,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portion of restricted long-term deposit,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portion of long-term borrowings,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portion of lease liabilities, approximated their respective fair values due to the short-term maturity of these instruments.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Financial assets and liabilities that are measured at fair value on a recurring basis consist of short-term investments, equity investments with readily determinable fair values, debt investments that are accounted for under the fair value option model and derivative liability.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All of the Group’s short-term investments, which are comprised primarily of structured deposits and bank financial products, are classified within Level II of the fair value hierarchy because they are floating income products linked to currency exchange rate, gold market price, national debt or benchmark interest rates. These instruments are not valued using quoted market prices, but can be valued based on other observable inputs, such as interest rates and currency rates.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Equity investments with readily determinable fair values (Note 13) are valued using the quoted prices in active markets at the reporting date, which are classified within Level I of the fair value hierarchy.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has debt investments that are accounted for under the fair value option model (Note 13) and a derivative liability relating to certain contingent consideration, which are initially measured at fair value with changes in fair value in the subsequent periods recognized through earnings. Such debt investments and derivative liability are classified within Level III of the fair value hierarchy, as there is little or no observable market data to determine the respective fair values. Under these circumstances, the Group has adopted certain valuation techniques using unobservable inputs to measure their respective fair values.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Group’s retained asset-backed notes and securities (Note 13) are carried at fair value, which are classified within Level II and valued using directly or indirectly observable inputs in the market place.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 Cash and cash equivalents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Cash and cash equivalents represent cash on hand, deposits that are available for withdrawal at any time without prior notice or penalty and highly liquid investments placed with banks or other financial institutions. All components are unrestricted as to withdrawal and use, and such investments have original maturities of three months or less.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as reported in the consolidated statement of cash flows are presented separately on the consolidated balance sheets as follows: </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2240"/>
        <w:gridCol w:w="120"/>
        <w:gridCol w:w="60"/>
        <w:gridCol w:w="1340"/>
        <w:gridCol w:w="60"/>
        <w:gridCol w:w="120"/>
        <w:gridCol w:w="87"/>
        <w:gridCol w:w="1613"/>
        <w:gridCol w:w="60"/>
        <w:gridCol w:w="120"/>
        <w:gridCol w:w="60"/>
        <w:gridCol w:w="1340"/>
        <w:gridCol w:w="60"/>
        <w:gridCol w:w="120"/>
        <w:gridCol w:w="87"/>
        <w:gridCol w:w="1613"/>
        <w:gridCol w:w="75"/>
      </w:tblGrid>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0" w:type="dxa"/>
            <w:gridSpan w:val="6"/>
            <w:tcBorders/>
            <w:vAlign w:val="center"/>
          </w:tcPr>
          <w:p>
            <w:pPr>
              <w:pStyle w:val="TableContents"/>
              <w:bidi w:val="0"/>
              <w:spacing w:before="0" w:after="0"/>
              <w:jc w:val="center"/>
              <w:rPr>
                <w:b/>
                <w:spacing w:val="0"/>
              </w:rPr>
            </w:pPr>
            <w:r>
              <w:rPr>
                <w:b/>
                <w:spacing w:val="0"/>
              </w:rPr>
              <w:t>As of 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0" w:type="dxa"/>
            <w:gridSpan w:val="6"/>
            <w:tcBorders/>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RMB equivalent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RMB equivalent</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RMB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15,838,827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15,838,827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14,152,511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14,152,511</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345,447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2,483,208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222,584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1,564,499</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17,286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130,088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114,337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941,620</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not applicable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134,151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not applicable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670,982</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1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1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18,586,274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right"/>
              <w:rPr/>
            </w:pPr>
            <w:r>
              <w:rPr/>
              <w:t>17,329,612</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1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1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substantially all of the Group’s cash and cash equivalents were held in reputable financial institutions located in the PRC, Hong Kong, United States and Europe.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 Restricted cash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Restricted cash primarily represents bank deposits for letters of guarantee, bank notes, bank borrowings and others</w:t>
      </w:r>
    </w:p>
    <w:p>
      <w:pPr>
        <w:pStyle w:val="TextBody"/>
        <w:bidi w:val="0"/>
        <w:spacing w:before="120" w:after="0"/>
        <w:jc w:val="left"/>
        <w:rPr>
          <w:spacing w:val="0"/>
        </w:rPr>
      </w:pPr>
      <w:r>
        <w:rPr>
          <w:spacing w:val="0"/>
        </w:rPr>
        <w:t> </w:t>
      </w:r>
      <w:r>
        <w:rPr>
          <w:rFonts w:ascii="Times New Roman" w:hAnsi="Times New Roman"/>
          <w:spacing w:val="0"/>
          <w:sz w:val="20"/>
        </w:rPr>
        <w:t>amounted to RMB</w:t>
      </w:r>
    </w:p>
    <w:p>
      <w:pPr>
        <w:pStyle w:val="TextBody"/>
        <w:bidi w:val="0"/>
        <w:spacing w:before="120" w:after="0"/>
        <w:jc w:val="left"/>
        <w:rPr>
          <w:rFonts w:ascii="Times New Roman" w:hAnsi="Times New Roman"/>
          <w:sz w:val="20"/>
        </w:rPr>
      </w:pPr>
      <w:r>
        <w:rPr>
          <w:rFonts w:ascii="Times New Roman" w:hAnsi="Times New Roman"/>
          <w:sz w:val="20"/>
        </w:rPr>
        <w:t>3,148,492</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 RMB</w:t>
      </w:r>
    </w:p>
    <w:p>
      <w:pPr>
        <w:pStyle w:val="TextBody"/>
        <w:bidi w:val="0"/>
        <w:spacing w:before="120" w:after="0"/>
        <w:jc w:val="left"/>
        <w:rPr>
          <w:rFonts w:ascii="Times New Roman" w:hAnsi="Times New Roman"/>
          <w:sz w:val="20"/>
        </w:rPr>
      </w:pPr>
      <w:r>
        <w:rPr>
          <w:rFonts w:ascii="Times New Roman" w:hAnsi="Times New Roman"/>
          <w:sz w:val="20"/>
        </w:rPr>
        <w:t>6,015,854</w:t>
      </w:r>
    </w:p>
    <w:p>
      <w:pPr>
        <w:pStyle w:val="TextBody"/>
        <w:bidi w:val="0"/>
        <w:spacing w:before="120" w:after="0"/>
        <w:jc w:val="left"/>
        <w:rPr>
          <w:rFonts w:ascii="Times New Roman" w:hAnsi="Times New Roman"/>
          <w:spacing w:val="0"/>
          <w:sz w:val="20"/>
        </w:rPr>
      </w:pPr>
      <w:r>
        <w:rPr>
          <w:rFonts w:ascii="Times New Roman" w:hAnsi="Times New Roman"/>
          <w:spacing w:val="0"/>
          <w:sz w:val="20"/>
        </w:rPr>
        <w:t>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2025</w:t>
      </w:r>
    </w:p>
    <w:p>
      <w:pPr>
        <w:pStyle w:val="TextBody"/>
        <w:bidi w:val="0"/>
        <w:spacing w:before="120" w:after="0"/>
        <w:jc w:val="left"/>
        <w:rPr>
          <w:rFonts w:ascii="Times New Roman" w:hAnsi="Times New Roman"/>
          <w:spacing w:val="0"/>
          <w:sz w:val="20"/>
        </w:rPr>
      </w:pPr>
      <w:r>
        <w:rPr>
          <w:rFonts w:ascii="Times New Roman" w:hAnsi="Times New Roman"/>
          <w:spacing w:val="0"/>
          <w:sz w:val="20"/>
        </w:rPr>
        <w:t>, respectively. In addition, restricted cash includes certain deposits, amounting to RMB</w:t>
      </w:r>
    </w:p>
    <w:p>
      <w:pPr>
        <w:pStyle w:val="TextBody"/>
        <w:bidi w:val="0"/>
        <w:spacing w:before="120" w:after="0"/>
        <w:jc w:val="left"/>
        <w:rPr>
          <w:rFonts w:ascii="Times New Roman" w:hAnsi="Times New Roman"/>
          <w:sz w:val="20"/>
        </w:rPr>
      </w:pPr>
      <w:r>
        <w:rPr>
          <w:rFonts w:ascii="Times New Roman" w:hAnsi="Times New Roman"/>
          <w:sz w:val="20"/>
        </w:rPr>
        <w:t>4,898</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 RMB</w:t>
      </w:r>
    </w:p>
    <w:p>
      <w:pPr>
        <w:pStyle w:val="TextBody"/>
        <w:bidi w:val="0"/>
        <w:spacing w:before="120" w:after="0"/>
        <w:jc w:val="left"/>
        <w:rPr>
          <w:rFonts w:ascii="Times New Roman" w:hAnsi="Times New Roman"/>
          <w:sz w:val="20"/>
        </w:rPr>
      </w:pPr>
      <w:r>
        <w:rPr>
          <w:rFonts w:ascii="Times New Roman" w:hAnsi="Times New Roman"/>
          <w:sz w:val="20"/>
        </w:rPr>
        <w:t>55,637</w:t>
      </w:r>
    </w:p>
    <w:p>
      <w:pPr>
        <w:pStyle w:val="TextBody"/>
        <w:bidi w:val="0"/>
        <w:spacing w:before="120" w:after="0"/>
        <w:jc w:val="left"/>
        <w:rPr>
          <w:rFonts w:ascii="Times New Roman" w:hAnsi="Times New Roman"/>
          <w:spacing w:val="0"/>
          <w:sz w:val="20"/>
        </w:rPr>
      </w:pPr>
      <w:r>
        <w:rPr>
          <w:rFonts w:ascii="Times New Roman" w:hAnsi="Times New Roman"/>
          <w:spacing w:val="0"/>
          <w:sz w:val="20"/>
        </w:rPr>
        <w:t>as of December </w:t>
      </w:r>
    </w:p>
    <w:p>
      <w:pPr>
        <w:pStyle w:val="TextBody"/>
        <w:bidi w:val="0"/>
        <w:spacing w:before="120" w:after="0"/>
        <w:jc w:val="left"/>
        <w:rPr>
          <w:rFonts w:ascii="Times New Roman" w:hAnsi="Times New Roman"/>
          <w:sz w:val="20"/>
        </w:rPr>
      </w:pPr>
      <w:r>
        <w:rPr>
          <w:rFonts w:ascii="Times New Roman" w:hAnsi="Times New Roman"/>
          <w:sz w:val="20"/>
        </w:rPr>
        <w:t>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2025</w:t>
      </w:r>
    </w:p>
    <w:p>
      <w:pPr>
        <w:pStyle w:val="TextBody"/>
        <w:bidi w:val="0"/>
        <w:spacing w:before="120" w:after="0"/>
        <w:jc w:val="left"/>
        <w:rPr>
          <w:rFonts w:ascii="Times New Roman" w:hAnsi="Times New Roman"/>
          <w:spacing w:val="0"/>
          <w:sz w:val="20"/>
        </w:rPr>
      </w:pPr>
      <w:r>
        <w:rPr>
          <w:rFonts w:ascii="Times New Roman" w:hAnsi="Times New Roman"/>
          <w:spacing w:val="0"/>
          <w:sz w:val="20"/>
        </w:rPr>
        <w:t>, respectively, that are restricted due to legal disputes.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 Short-term and long-term deposits </w:t>
      </w:r>
    </w:p>
    <w:p>
      <w:pPr>
        <w:pStyle w:val="TextBody"/>
        <w:bidi w:val="0"/>
        <w:spacing w:before="120" w:after="0"/>
        <w:jc w:val="left"/>
        <w:rPr>
          <w:rFonts w:ascii="Times New Roman" w:hAnsi="Times New Roman"/>
          <w:sz w:val="20"/>
        </w:rPr>
      </w:pPr>
      <w:r>
        <w:rPr>
          <w:rFonts w:ascii="Times New Roman" w:hAnsi="Times New Roman"/>
          <w:sz w:val="20"/>
        </w:rPr>
        <w:t>Short-term deposits represent time deposits placed with banks with original maturities between three months and one year. Interest earned is recorded as interest income in the consolidated statement of comprehensive loss during the periods presented. As of December 31, 2024 and 2025, substantially all of the Group’s short-term deposits amounting to RMB12,931,757 and RMB11,388,834</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respectively, had been placed in reputable financial institutions in the PRC. </w:t>
      </w:r>
    </w:p>
    <w:p>
      <w:pPr>
        <w:pStyle w:val="TextBody"/>
        <w:bidi w:val="0"/>
        <w:spacing w:before="120" w:after="0"/>
        <w:jc w:val="left"/>
        <w:rPr>
          <w:rFonts w:ascii="Times New Roman" w:hAnsi="Times New Roman"/>
          <w:sz w:val="20"/>
        </w:rPr>
      </w:pPr>
      <w:r>
        <w:rPr>
          <w:rFonts w:ascii="Times New Roman" w:hAnsi="Times New Roman"/>
          <w:sz w:val="20"/>
        </w:rPr>
        <w:t xml:space="preserve">Long-term deposits represent time deposits placed with banks with original maturities more than one year. Interest earned is recorded as interest income in the consolidated statement of comprehensive loss during the periods presented. As of December 31, 2024 and 2025, substantially all of the Group’s long-term deposits amounting to RMB4,941,362 and RMB7,283,859, respectively, had been placed in reputable financial institutions in the PRC, out of which, RMB452,326 and RMB3,020,317 will be due within one year and are classified to “Long-term deposits, current portion”,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Group used to report the restricted term deposit on net basis in the consolidated statement of cash flows which should instead be presented on a gross basis under ASC 230. In 2024, the comparative figures for the year ended December 31, 2023 had been revised to gross present placement and maturities of restricted short-term deposits and placement of restricted long-term deposits, amounting to RMB1,010,000, RMB1,010,000 and RMB580,000, respectively. This revision had no impact on the consolidated balance sheets, consolidated statements of comprehensive loss for the year ended December 31, 2023 nor did it have an impact on total cash flows from operating, investing or financing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 Current expected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Group’s cash and cash equivalents, restricted cash, time deposits in bank, accounts and notes receivable, amounts due from related parties, other current assets, installment payment receivables,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are within the scope of ASC Topic 326. The Group has identified the relevant risk characteristics of its customers and the related receivables, deposits, installment payment receivables and others aforementioned, which include size, types of the services or the products the Group provides, or a combination of these characteristics. Receivables with similar risk characteristics have been grouped into pools. For each pool, the Group considers the historical credit loss experience, current economic conditions and supportable forecasts of future economic conditions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end based on the Group’s specific facts and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the Group recorded RMB70,357, RMB5,572 and RMB126,298 in expected credit loss expense in selling, general and administrative expenses, respectively. As of December 31, 2024, the expected credit loss provision recorded in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were RMB63,866 and RMB55,932, respectively. As of December 31, 2025, the expected credit loss provision recorded in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were RMB142,328 and RMB75,357, respectively.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For Installment payment receivables related to aggregate receivables of the installment payments for auto financing, the Group classified its installment payment receivables into different categories from performing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non-performing</w:t>
      </w:r>
    </w:p>
    <w:p>
      <w:pPr>
        <w:pStyle w:val="TextBody"/>
        <w:bidi w:val="0"/>
        <w:spacing w:before="120" w:after="0"/>
        <w:jc w:val="left"/>
        <w:rPr>
          <w:rFonts w:ascii="Times New Roman" w:hAnsi="Times New Roman"/>
          <w:sz w:val="20"/>
        </w:rPr>
      </w:pPr>
      <w:r>
        <w:rPr>
          <w:rFonts w:ascii="Times New Roman" w:hAnsi="Times New Roman"/>
          <w:sz w:val="20"/>
        </w:rPr>
        <w:t xml:space="preserve">based on the credit risk of the customers and the past due days, if any, of the principal and/or interest repayments. The lifetime current expected credit losses for the installment payment receivables was determined by applying probability of default and loss given default assumptions to exposures at default, then discounted these cash flows to present value using the original effective interest rate or by an approximation thereof. As of December 31, 2024 and 2025, the majority of the installment payment receivables had been categorized as performing since the customers had a low risk of default, a strong capacity to meet contractual cash flows and had no past due repayments and the amounts of installment payment receivables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non-performing</w:t>
      </w:r>
    </w:p>
    <w:p>
      <w:pPr>
        <w:pStyle w:val="TextBody"/>
        <w:bidi w:val="0"/>
        <w:spacing w:before="120" w:after="0"/>
        <w:jc w:val="left"/>
        <w:rPr>
          <w:rFonts w:ascii="Times New Roman" w:hAnsi="Times New Roman"/>
          <w:sz w:val="20"/>
        </w:rPr>
      </w:pPr>
      <w:r>
        <w:rPr>
          <w:rFonts w:ascii="Times New Roman" w:hAnsi="Times New Roman"/>
          <w:sz w:val="20"/>
        </w:rPr>
        <w:t xml:space="preserve">categories were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 Current expected credit losses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considers historical credit loss rates for each category of receivables, other current assets, installment payment receivables related to technical research and development services and other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0" w:after="0"/>
        <w:jc w:val="left"/>
        <w:rPr>
          <w:rFonts w:ascii="Times New Roman" w:hAnsi="Times New Roman"/>
          <w:sz w:val="20"/>
        </w:rPr>
      </w:pPr>
      <w:r>
        <w:rPr>
          <w:rFonts w:ascii="Times New Roman" w:hAnsi="Times New Roman"/>
          <w:sz w:val="20"/>
        </w:rPr>
        <w:t xml:space="preserve">assets and also considers forward looking macroeconomic data in making its loss accrual determinations. The Group has made specific credit loss provisions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case-by-case</w:t>
      </w:r>
    </w:p>
    <w:p>
      <w:pPr>
        <w:pStyle w:val="TextBody"/>
        <w:bidi w:val="0"/>
        <w:spacing w:before="0" w:after="0"/>
        <w:jc w:val="left"/>
        <w:rPr>
          <w:rFonts w:ascii="Times New Roman" w:hAnsi="Times New Roman"/>
          <w:sz w:val="20"/>
        </w:rPr>
      </w:pPr>
      <w:r>
        <w:rPr>
          <w:rFonts w:ascii="Times New Roman" w:hAnsi="Times New Roman"/>
          <w:sz w:val="20"/>
        </w:rPr>
        <w:t>basis for particular aged receivable balances.</w:t>
      </w:r>
    </w:p>
    <w:p>
      <w:pPr>
        <w:pStyle w:val="TextBody"/>
        <w:bidi w:val="0"/>
        <w:spacing w:before="120" w:after="0"/>
        <w:jc w:val="left"/>
        <w:rPr>
          <w:rFonts w:ascii="Times New Roman" w:hAnsi="Times New Roman"/>
          <w:sz w:val="20"/>
        </w:rPr>
      </w:pPr>
      <w:r>
        <w:rPr>
          <w:rFonts w:ascii="Times New Roman" w:hAnsi="Times New Roman"/>
          <w:sz w:val="20"/>
        </w:rPr>
        <w:t xml:space="preserve">The Group’s expected credit loss of cash and cash equivalents, restricted cash, time deposit in bank, amounts due from related parties and notes receivable within the scope of ASC Topic 326 were immaterial.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activity in the allowance for credit losses related to accounts receivable, other current assets, installment payment receivables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for the years ended December 31, 2023, 2024 and 2025: </w:t>
      </w:r>
    </w:p>
    <w:p>
      <w:pPr>
        <w:pStyle w:val="TextBody"/>
        <w:bidi w:val="0"/>
        <w:spacing w:before="0" w:after="0"/>
        <w:jc w:val="left"/>
        <w:rPr/>
      </w:pPr>
      <w:r>
        <w:rPr/>
        <w:t> </w:t>
      </w:r>
    </w:p>
    <w:tbl>
      <w:tblPr>
        <w:tblW w:w="5100" w:type="dxa"/>
        <w:jc w:val="left"/>
        <w:tblInd w:w="0" w:type="dxa"/>
        <w:tblLayout w:type="fixed"/>
        <w:tblCellMar>
          <w:top w:w="0" w:type="dxa"/>
          <w:left w:w="0" w:type="dxa"/>
          <w:bottom w:w="0" w:type="dxa"/>
          <w:right w:w="0" w:type="dxa"/>
        </w:tblCellMar>
      </w:tblPr>
      <w:tblGrid>
        <w:gridCol w:w="2735"/>
        <w:gridCol w:w="120"/>
        <w:gridCol w:w="144"/>
        <w:gridCol w:w="1931"/>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br/>
              <w:t>December 31, 2023</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121,707</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period provision</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70,357</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(41,281</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150,783</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100" w:type="dxa"/>
        <w:jc w:val="left"/>
        <w:tblInd w:w="0" w:type="dxa"/>
        <w:tblLayout w:type="fixed"/>
        <w:tblCellMar>
          <w:top w:w="0" w:type="dxa"/>
          <w:left w:w="0" w:type="dxa"/>
          <w:bottom w:w="0" w:type="dxa"/>
          <w:right w:w="0" w:type="dxa"/>
        </w:tblCellMar>
      </w:tblPr>
      <w:tblGrid>
        <w:gridCol w:w="2735"/>
        <w:gridCol w:w="120"/>
        <w:gridCol w:w="144"/>
        <w:gridCol w:w="1931"/>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br/>
              <w:t>December 31, 2024</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150,783</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period provision</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5,572</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(36,557</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119,798</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4235"/>
        <w:gridCol w:w="120"/>
        <w:gridCol w:w="144"/>
        <w:gridCol w:w="1931"/>
        <w:gridCol w:w="170"/>
      </w:tblGrid>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br/>
              <w:t>December 31, 2025</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1931" w:type="dxa"/>
            <w:tcBorders/>
            <w:shd w:fill="CCEEFF" w:val="clear"/>
            <w:vAlign w:val="center"/>
          </w:tcPr>
          <w:p>
            <w:pPr>
              <w:pStyle w:val="TableContents"/>
              <w:bidi w:val="0"/>
              <w:spacing w:before="0" w:after="0"/>
              <w:jc w:val="right"/>
              <w:rPr>
                <w:b/>
                <w:spacing w:val="0"/>
              </w:rPr>
            </w:pPr>
            <w:r>
              <w:rPr>
                <w:b/>
                <w:spacing w:val="0"/>
              </w:rPr>
              <w:t>119,798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period provision</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126,298</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Transfer out due to derecognition of financial assets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931" w:type="dxa"/>
            <w:tcBorders/>
            <w:shd w:fill="CCEEFF" w:val="clear"/>
            <w:vAlign w:val="center"/>
          </w:tcPr>
          <w:p>
            <w:pPr>
              <w:pStyle w:val="TableContents"/>
              <w:bidi w:val="0"/>
              <w:spacing w:before="0" w:after="283"/>
              <w:jc w:val="right"/>
              <w:rPr/>
            </w:pPr>
            <w:r>
              <w:rPr/>
              <w:t>(13,140</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931" w:type="dxa"/>
            <w:tcBorders/>
            <w:vAlign w:val="center"/>
          </w:tcPr>
          <w:p>
            <w:pPr>
              <w:pStyle w:val="TableContents"/>
              <w:bidi w:val="0"/>
              <w:spacing w:before="0" w:after="283"/>
              <w:jc w:val="right"/>
              <w:rPr/>
            </w:pPr>
            <w:r>
              <w:rPr/>
              <w:t>(15,271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1931" w:type="dxa"/>
            <w:tcBorders/>
            <w:shd w:fill="CCEEFF" w:val="clear"/>
            <w:vAlign w:val="center"/>
          </w:tcPr>
          <w:p>
            <w:pPr>
              <w:pStyle w:val="TableContents"/>
              <w:bidi w:val="0"/>
              <w:spacing w:before="0" w:after="0"/>
              <w:jc w:val="right"/>
              <w:rPr>
                <w:b/>
                <w:spacing w:val="0"/>
              </w:rPr>
            </w:pPr>
            <w:r>
              <w:rPr>
                <w:b/>
                <w:spacing w:val="0"/>
              </w:rPr>
              <w:t>217,685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9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(k) 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For investments in financial instruments with a variable interest rate indexed to the performance of underlying assets, the Group elected the fair value method at the date of initial recognition and carried these investments subsequently at fair value. Changes in fair values are reflected as “Interest income” in the consolidated statement of comprehensive loss. The Group’s short-term investments in financial instruments were RMB751,290 and RMB 3,217,293 as of December 31, 2024 and 2025,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 Inventory </w:t>
      </w:r>
    </w:p>
    <w:p>
      <w:pPr>
        <w:pStyle w:val="TextBody"/>
        <w:bidi w:val="0"/>
        <w:spacing w:before="120" w:after="0"/>
        <w:jc w:val="left"/>
        <w:rPr>
          <w:rFonts w:ascii="Times New Roman" w:hAnsi="Times New Roman"/>
          <w:sz w:val="20"/>
        </w:rPr>
      </w:pPr>
      <w:r>
        <w:rPr>
          <w:rFonts w:ascii="Times New Roman" w:hAnsi="Times New Roman"/>
          <w:sz w:val="20"/>
        </w:rPr>
        <w:t xml:space="preserve">Inventories are stated at the lower of cost or net realizable value. Cost is calculated on the standard cost basis and includes all costs to acquire and other costs to bring the inventories to their present condition, which approximates actual cost using the monthly weighted average method.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 down, a new, lower-cost basis for that inventory is established and subsequent changes in facts and circumstances do not result in the restoration or increase in that newly established cost basis. </w:t>
      </w:r>
    </w:p>
    <w:p>
      <w:pPr>
        <w:pStyle w:val="TextBody"/>
        <w:bidi w:val="0"/>
        <w:spacing w:before="120" w:after="0"/>
        <w:jc w:val="left"/>
        <w:rPr>
          <w:rFonts w:ascii="Times New Roman" w:hAnsi="Times New Roman"/>
          <w:sz w:val="20"/>
        </w:rPr>
      </w:pPr>
      <w:r>
        <w:rPr>
          <w:rFonts w:ascii="Times New Roman" w:hAnsi="Times New Roman"/>
          <w:sz w:val="20"/>
        </w:rPr>
        <w:t xml:space="preserve">Inventory write-downs of RMB1,054,711, RMB943,734 and RMB555,368 were recognized in cost of sales for the years ended December 31, 2023, 2024 and 2025,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 Property, plant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are stated at cost less accumulated depreciation and impairment loss, if any. Property, plant and equipment are depreciated primarily using the straight-line method over the estimated useful lives of the assets. Residual value rate is determined to 0%-50% based on the economic value of the property, plant and equipment at the end of the estimated useful lives as a percentage of the original cost.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2960"/>
        <w:gridCol w:w="120"/>
        <w:gridCol w:w="61"/>
        <w:gridCol w:w="2134"/>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0"/>
              <w:jc w:val="center"/>
              <w:rPr>
                <w:b/>
              </w:rPr>
            </w:pPr>
            <w:r>
              <w:rPr>
                <w:b/>
              </w:rPr>
              <w:t>Estimated useful lives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10 to 20 years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2 to 10 years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Charging infrastructure</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3 to 5 years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1.5 to 10 years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and electronic equipment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2 to 10 years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r>
              <w:rPr/>
              <w:br/>
              <w:t> </w:t>
            </w:r>
          </w:p>
        </w:tc>
        <w:tc>
          <w:tcPr>
            <w:tcW w:w="2134" w:type="dxa"/>
            <w:tcBorders/>
            <w:vAlign w:val="center"/>
          </w:tcPr>
          <w:p>
            <w:pPr>
              <w:pStyle w:val="TableContents"/>
              <w:bidi w:val="0"/>
              <w:spacing w:before="0" w:after="283"/>
              <w:jc w:val="right"/>
              <w:rPr/>
            </w:pPr>
            <w:r>
              <w:rPr/>
              <w:t>shorter of the lease</w:t>
              <w:br/>
              <w:t>terms or the estimated</w:t>
              <w:br/>
              <w:t>useful lives</w:t>
            </w:r>
          </w:p>
        </w:tc>
        <w:tc>
          <w:tcPr>
            <w:tcW w:w="75" w:type="dxa"/>
            <w:tcBorders/>
            <w:vAlign w:val="center"/>
          </w:tcPr>
          <w:p>
            <w:pPr>
              <w:pStyle w:val="TableContents"/>
              <w:bidi w:val="0"/>
              <w:spacing w:before="0" w:after="283"/>
              <w:jc w:val="left"/>
              <w:rPr/>
            </w:pPr>
            <w:r>
              <w:rPr/>
              <w:t> </w:t>
            </w:r>
            <w:r>
              <w:rPr/>
              <w:br/>
              <w:t> </w:t>
              <w:b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134" w:type="dxa"/>
            <w:tcBorders/>
            <w:vAlign w:val="center"/>
          </w:tcPr>
          <w:p>
            <w:pPr>
              <w:pStyle w:val="TableContents"/>
              <w:bidi w:val="0"/>
              <w:spacing w:before="0" w:after="283"/>
              <w:jc w:val="right"/>
              <w:rPr/>
            </w:pPr>
            <w:r>
              <w:rPr/>
              <w:t>2 to 5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(m) Property, plant and equipment, net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for molds and toolings is computed using the </w:t>
      </w:r>
    </w:p>
    <w:p>
      <w:pPr>
        <w:pStyle w:val="TextBody"/>
        <w:bidi w:val="0"/>
        <w:spacing w:before="0" w:after="0"/>
        <w:jc w:val="left"/>
        <w:rPr>
          <w:rFonts w:ascii="Times New Roman" w:hAnsi="Times New Roman"/>
          <w:sz w:val="20"/>
        </w:rPr>
      </w:pPr>
      <w:r>
        <w:rPr>
          <w:rFonts w:ascii="Times New Roman" w:hAnsi="Times New Roman"/>
          <w:sz w:val="20"/>
        </w:rPr>
        <w:t>units-of-production</w:t>
      </w:r>
    </w:p>
    <w:p>
      <w:pPr>
        <w:pStyle w:val="TextBody"/>
        <w:bidi w:val="0"/>
        <w:spacing w:before="0" w:after="0"/>
        <w:jc w:val="left"/>
        <w:rPr>
          <w:rFonts w:ascii="Times New Roman" w:hAnsi="Times New Roman"/>
          <w:sz w:val="20"/>
        </w:rPr>
      </w:pPr>
      <w:r>
        <w:rPr>
          <w:rFonts w:ascii="Times New Roman" w:hAnsi="Times New Roman"/>
          <w:sz w:val="20"/>
        </w:rPr>
        <w:t xml:space="preserve">method whereby capitalized costs are amortized over the total estimated productive units of the related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cost of maintenance and repairs is expensed as incurred, whereas the cost of renewals and betterment that extends the useful lives of property, plant and equipment is capitalized as additions to the related assets. </w:t>
      </w:r>
    </w:p>
    <w:p>
      <w:pPr>
        <w:pStyle w:val="TextBody"/>
        <w:bidi w:val="0"/>
        <w:spacing w:before="120" w:after="0"/>
        <w:jc w:val="left"/>
        <w:rPr>
          <w:rFonts w:ascii="Times New Roman" w:hAnsi="Times New Roman"/>
          <w:sz w:val="20"/>
        </w:rPr>
      </w:pPr>
      <w:r>
        <w:rPr>
          <w:rFonts w:ascii="Times New Roman" w:hAnsi="Times New Roman"/>
          <w:sz w:val="20"/>
        </w:rPr>
        <w:t xml:space="preserve">Construction in progress represents property, plant and equipment under construction and pending installation and is stated at cost less accumulated impairment losses, if any. Completed assets are transferred to their respective asset classes and depreciation begins when an asset is ready for its intended use. Interest expense on outstanding debt is capitalized during the period of significant capital asset construction. Capitalized interest expense on </w:t>
      </w:r>
    </w:p>
    <w:p>
      <w:pPr>
        <w:pStyle w:val="TextBody"/>
        <w:bidi w:val="0"/>
        <w:spacing w:before="120" w:after="0"/>
        <w:jc w:val="left"/>
        <w:rPr>
          <w:rFonts w:ascii="Times New Roman" w:hAnsi="Times New Roman"/>
          <w:sz w:val="20"/>
        </w:rPr>
      </w:pPr>
      <w:r>
        <w:rPr>
          <w:rFonts w:ascii="Times New Roman" w:hAnsi="Times New Roman"/>
          <w:sz w:val="20"/>
        </w:rPr>
        <w:t>construction-in-progress</w:t>
      </w:r>
    </w:p>
    <w:p>
      <w:pPr>
        <w:pStyle w:val="TextBody"/>
        <w:bidi w:val="0"/>
        <w:spacing w:before="120" w:after="0"/>
        <w:jc w:val="left"/>
        <w:rPr>
          <w:rFonts w:ascii="Times New Roman" w:hAnsi="Times New Roman"/>
          <w:sz w:val="20"/>
        </w:rPr>
      </w:pPr>
      <w:r>
        <w:rPr>
          <w:rFonts w:ascii="Times New Roman" w:hAnsi="Times New Roman"/>
          <w:sz w:val="20"/>
        </w:rPr>
        <w:t xml:space="preserve">is included within property, plant and equipment and is amortized over the life of the related assets. </w:t>
      </w:r>
    </w:p>
    <w:p>
      <w:pPr>
        <w:pStyle w:val="TextBody"/>
        <w:bidi w:val="0"/>
        <w:spacing w:before="120" w:after="0"/>
        <w:jc w:val="left"/>
        <w:rPr>
          <w:rFonts w:ascii="Times New Roman" w:hAnsi="Times New Roman"/>
          <w:sz w:val="20"/>
        </w:rPr>
      </w:pPr>
      <w:r>
        <w:rPr>
          <w:rFonts w:ascii="Times New Roman" w:hAnsi="Times New Roman"/>
          <w:sz w:val="20"/>
        </w:rPr>
        <w:t xml:space="preserve">The gain or loss on the disposal of property, plant and equipment is the difference between the net sales proceeds and the carrying amount of the relevant assets and is recognized in the consolidated statement of comprehensive loss. Losses on the disposal of property, plant and equipment amounting to RMB4,863, RMB21,787 and RMB25,967 were recognized in operating expenses during the years ended December 31,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 Intangible assets, net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Intangible assets consist of manufacturing license, software, license of maintenance and overhauls, vehicle model</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technology (“VMT”), vehicle platform technology (“VPT”), robotics platform technology and other intangible assets. Intangible assets with finite lives, including software, license of maintenance and overhaul, VPT, VMT, robotics platform technology and other intangible assets, are carried at acquisition cost less accumulated amortization and impairment, if any. Finite -lived intangible assets are tested for impairment if impairment indicators arise. </w:t>
      </w:r>
    </w:p>
    <w:p>
      <w:pPr>
        <w:pStyle w:val="TextBody"/>
        <w:bidi w:val="0"/>
        <w:spacing w:before="120" w:after="0"/>
        <w:jc w:val="left"/>
        <w:rPr>
          <w:rFonts w:ascii="Times New Roman" w:hAnsi="Times New Roman"/>
          <w:sz w:val="20"/>
        </w:rPr>
      </w:pPr>
      <w:r>
        <w:rPr>
          <w:rFonts w:ascii="Times New Roman" w:hAnsi="Times New Roman"/>
          <w:sz w:val="20"/>
        </w:rPr>
        <w:t>Amortization of intangible assets with finite lives are computed using the straight-line method over the estimated useful lives as below:</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3140"/>
        <w:gridCol w:w="120"/>
        <w:gridCol w:w="101"/>
        <w:gridCol w:w="2094"/>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useful lives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2 to 10 years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License of maintenance and overhauls</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26 months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VPT</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10 years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VMT</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5 years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Robotics platform technology</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10 years</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094" w:type="dxa"/>
            <w:tcBorders/>
            <w:vAlign w:val="center"/>
          </w:tcPr>
          <w:p>
            <w:pPr>
              <w:pStyle w:val="TableContents"/>
              <w:bidi w:val="0"/>
              <w:spacing w:before="0" w:after="283"/>
              <w:jc w:val="right"/>
              <w:rPr/>
            </w:pPr>
            <w:r>
              <w:rPr/>
              <w:t>5 to 10 years</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estimates the useful life of the software to be 2 to 10 years, VMT to be 5 years, VPT and robotics platform technology to be 10 years, based on the contract terms, expected technical obsolescence and innovations and industry experience of such intangible assets. The Group estimates the useful life of the license of maintenance and overhaul to be 26 months based on the contract terms. The Group estimates the useful life of other intangible assets to be 5 to 10 years, based on the laws and regulations by registration authorities. </w:t>
      </w:r>
    </w:p>
    <w:p>
      <w:pPr>
        <w:pStyle w:val="TextBody"/>
        <w:bidi w:val="0"/>
        <w:spacing w:before="120" w:after="0"/>
        <w:jc w:val="left"/>
        <w:rPr>
          <w:rFonts w:ascii="Times New Roman" w:hAnsi="Times New Roman"/>
          <w:sz w:val="20"/>
        </w:rPr>
      </w:pPr>
      <w:r>
        <w:rPr>
          <w:rFonts w:ascii="Times New Roman" w:hAnsi="Times New Roman"/>
          <w:sz w:val="20"/>
        </w:rPr>
        <w:t xml:space="preserve">The estimated useful lives of intangible assets with finite lives are reassessed if circumstances occur that indicate the original estimated useful lives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 Intangible assets, net (continued)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Intangible assets that have indefinite useful lives are manufacturing license, and others, as of December 31, 2025. No useful life was determined in the contract terms when the Group acquired the manufacturing license, and others. The Group expects that such intangible assets are unlikely to be terminated and will continue to be renewed as a matter of course based on industry experience, and will continue to contribute revenue in the future. Therefore, the Group considers the useful life of such intangible assets to be indefinite. In August, 2024, the Group completed the associated research and development efforts and a determination related to commercial feasibility of the vehicle model technology under development (“VMTUD”) acquired through business combination and estimated the useful life of VMTUD. The VMTUD was transferred into VMT as finite-lived intangible assets aforementioned. </w:t>
      </w:r>
    </w:p>
    <w:p>
      <w:pPr>
        <w:pStyle w:val="TextBody"/>
        <w:bidi w:val="0"/>
        <w:spacing w:before="120" w:after="0"/>
        <w:jc w:val="left"/>
        <w:rPr>
          <w:rFonts w:ascii="Times New Roman" w:hAnsi="Times New Roman"/>
          <w:sz w:val="20"/>
        </w:rPr>
      </w:pPr>
      <w:r>
        <w:rPr>
          <w:rFonts w:ascii="Times New Roman" w:hAnsi="Times New Roman"/>
          <w:sz w:val="20"/>
        </w:rPr>
        <w:t xml:space="preserve">The Group evaluates indefinite-lived intangible assets annually as of each balance sheet date to determine whether events and circumstances continue to support indefinite useful lives. The value of indefinite-lived intangible assets is not amortized, but tested for impairment annually or whenever events or changes in circumstances indicate that it is more likely than not that the asset is impaired in accordance with ASC 350.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Company calculates the fair value of the intangible asset and performs the quantitative impairment test by comparing the fair value of the asset with its carrying amount. If the carrying amount of an indefinite-lived intangible asset exceeds its fair value, the Company recognizes an impairment loss in an amount equal to that excess. In consideration of the growing electronic vehicle industry in China, the Group’s improving sales performance, the stable macroeconomic conditions in China and the Group’s future manufacturing plans, the Group determined that it is not likely that the manufacturing license, and others were impaired as of December 31, 2024 and 2025, respectively. As such, no impairment of indefinite-lived intangible assets was recognized for the years ended December 31, 2023, 2024 and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 Land use rights, net </w:t>
      </w:r>
    </w:p>
    <w:p>
      <w:pPr>
        <w:pStyle w:val="TextBody"/>
        <w:bidi w:val="0"/>
        <w:spacing w:before="120" w:after="0"/>
        <w:jc w:val="left"/>
        <w:rPr>
          <w:rFonts w:ascii="Times New Roman" w:hAnsi="Times New Roman"/>
          <w:sz w:val="20"/>
        </w:rPr>
      </w:pPr>
      <w:r>
        <w:rPr>
          <w:rFonts w:ascii="Times New Roman" w:hAnsi="Times New Roman"/>
          <w:sz w:val="20"/>
        </w:rPr>
        <w:t xml:space="preserve">Land use rights are recorded at cost less accumulated amortization. Amortization is provided on a straight-line basis over the estimated useful lives which are 12 to 50 years that represent the terms of land use rights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 Long-term investments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applies the equity method to account for its equity investments, according to ASC 323 “Investments — Equity Method and Joint Ventures”, over which it has significant influence but does not own a controlling financial interest. </w:t>
      </w:r>
    </w:p>
    <w:p>
      <w:pPr>
        <w:pStyle w:val="TextBody"/>
        <w:bidi w:val="0"/>
        <w:spacing w:before="120" w:after="0"/>
        <w:jc w:val="left"/>
        <w:rPr>
          <w:rFonts w:ascii="Times New Roman" w:hAnsi="Times New Roman"/>
          <w:sz w:val="20"/>
        </w:rPr>
      </w:pPr>
      <w:r>
        <w:rPr>
          <w:rFonts w:ascii="Times New Roman" w:hAnsi="Times New Roman"/>
          <w:sz w:val="20"/>
        </w:rPr>
        <w:t xml:space="preserve">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Group continually reviews its investments in equity method investees to determine whether a decline in fair value below the carrying value is other-than-temporary. The primary factors the Group considers in its determination include current economic and market conditions, the financial condition and operating performance of the equity method investees, and other company specific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Group’s long-term investments also include other equity investments, over which the Group has neither significant influence nor control, and debt investments.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Investments with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Equity investments with readily determinable fair values are measured and recorded at fair value using the quoted prices in active markets at the reporting date, which are classified within Level I of the fair value hierarchy.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Investments without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Group elected to record equity investments without readily determinable fair values using the measurement alternative at cost, less impairment, adjusted for subsequent observable price changes on a nonrecurring basis, and report changes in the carrying value of the equity investments in current earnings. Changes in the carrying value of the equity investments are required to be made whenever there are observable price changes in orderly transactions for the identical or similar investment of the same issuer. The implementation guidance notes that an entity should make a “reasonable effort” to identify price changes that are known or that can reasonably be known.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Investments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elected to account for certain debt investments under the fair value option model including preferred stock redeemable merely by the passage of time and at the option of the Group as a holder. The fair value option model permits the irrevocable election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instrument-by-instrument</w:t>
      </w:r>
    </w:p>
    <w:p>
      <w:pPr>
        <w:pStyle w:val="TextBody"/>
        <w:bidi w:val="0"/>
        <w:spacing w:before="120" w:after="0"/>
        <w:jc w:val="left"/>
        <w:rPr>
          <w:rFonts w:ascii="Times New Roman" w:hAnsi="Times New Roman"/>
          <w:sz w:val="20"/>
        </w:rPr>
      </w:pPr>
      <w:r>
        <w:rPr>
          <w:rFonts w:ascii="Times New Roman" w:hAnsi="Times New Roman"/>
          <w:sz w:val="20"/>
        </w:rPr>
        <w:t xml:space="preserve">basis at initial recognition or upon an event that gives rise to a new basis of accounting for that instrument. The investments accounted for under the fair value option model are carried at fair value with unrealized gains and losses recorded in the consolidated statement of comprehensive loss. Interest income from debt investments is recognized in earnings using the effective interest method which is reviewed and adjusted periodically based on changes in estimated cash flows.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Group’s debt securities including retained asset-backed notes and securities are reported at fair value, and subsequent changes in the fair value are recognized through net income.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(q) 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are evaluated for impairment whenever events or changes in circumstances (such as a significant adverse change to market conditions that will affect the future use of the assets) indicate that the carrying amount may not be fully recoverable or that the useful life is shorter than the Group had originally estimated. When these events occur, the Group evaluates the impairment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Fair value is determined using anticipated cash flows discounted at a rate commensurate with the risk involved.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 Warranties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provides a manufacturer’s standard warranty on all vehicles sold, primarily in Chinese Mainland. The Group accrues a warranty reserve for the vehicles sold by the Group, which includes the Group’s best estimate of the future costs to be incurred in order to repair or replace items under warranties and recalls when identified. These estimates were made based on actual claims incurred to date and an estimate of the nature, frequency and magnitude of future claims with reference made to the past claim history. These estimates are inherently uncertain given the Group’s relatively short history of sales, and changes to the Group’s historical or projected warranty experience may cause material changes to the warranty reserve in the future. The portion of the warranty reserve expected to be incurred within the next 12 months is included within accruals and other liabilities, while the remaining balance is included within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liabilities on the consolidated balance sheets. Warranty expense is recorded as a component of cost of sales in the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Group does not consider standard warranty as being a separate performance obligation as it is intended to provide greater quality assurance to customers and is not viewed as a distinct obligation. Accordingly, standard warranty is accounted for in accordance with ASC 460, Guarantees. The Group also provides extended lifetime warranty which is sold separately through a vehicle sales contract. The extended lifetime warranty is an incremental service offered to customers and is considered a separate performance obligation distinct from other promises and is accounted for in accordance with ASC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or as the control of the goods or services is transferred upon delivery to customers. Depending on the terms of the contract and the laws that apply to the contract, control of the goods and services may be transferred over time or at a point in time. Control of the goods and services is transferred over time if the Group’s performance: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provides all of the benefits received and consumed simultaneously by the customer;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creates and enhances an asset that the customer controls as the Group performs;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create an asset with an alternative use to the Group and the Group has an enforceable right to payment for performance completed to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customers may include multiple performance obligations. For such arrangements, the Group allocates overall contract price to each distinct performance obligation based on its relative standalone selling price in accordance with ASC 606. The Group generally determines standalone selling prices for each individual distinct performance obligation identified based on the prices charged to customers. If the standalone selling price is not directly observable, it is estimated using expected cost plus a margin or adjusted market assessment approach, depending on the availability of observable information, the data utilized, and considering the Group’s pricing policies and practices in making pricing decisions. Assumptions and estimations have been made in estimating the relative selling price of each distinct performance obligation, and changes in judgments on these assumptions and estimates may affect the revenue recognition. The discount provided in the contract are allocated by the Group to all performance obligations as conditions under ASC </w:t>
      </w:r>
    </w:p>
    <w:p>
      <w:pPr>
        <w:pStyle w:val="TextBody"/>
        <w:bidi w:val="0"/>
        <w:spacing w:before="120" w:after="0"/>
        <w:jc w:val="left"/>
        <w:rPr>
          <w:rFonts w:ascii="Times New Roman" w:hAnsi="Times New Roman"/>
          <w:sz w:val="20"/>
        </w:rPr>
      </w:pPr>
      <w:r>
        <w:rPr>
          <w:rFonts w:ascii="Times New Roman" w:hAnsi="Times New Roman"/>
          <w:sz w:val="20"/>
        </w:rPr>
        <w:t>606-10-32-37</w:t>
      </w:r>
    </w:p>
    <w:p>
      <w:pPr>
        <w:pStyle w:val="TextBody"/>
        <w:bidi w:val="0"/>
        <w:spacing w:before="120" w:after="0"/>
        <w:jc w:val="left"/>
        <w:rPr>
          <w:rFonts w:ascii="Times New Roman" w:hAnsi="Times New Roman"/>
          <w:sz w:val="20"/>
        </w:rPr>
      </w:pPr>
      <w:r>
        <w:rPr>
          <w:rFonts w:ascii="Times New Roman" w:hAnsi="Times New Roman"/>
          <w:sz w:val="20"/>
        </w:rPr>
        <w:t xml:space="preserve">to allocate the discount to one or more, but not all, of the performance obligations are not met. </w:t>
      </w:r>
    </w:p>
    <w:p>
      <w:pPr>
        <w:pStyle w:val="TextBody"/>
        <w:bidi w:val="0"/>
        <w:spacing w:before="120" w:after="0"/>
        <w:jc w:val="left"/>
        <w:rPr>
          <w:rFonts w:ascii="Times New Roman" w:hAnsi="Times New Roman"/>
          <w:sz w:val="20"/>
        </w:rPr>
      </w:pPr>
      <w:r>
        <w:rPr>
          <w:rFonts w:ascii="Times New Roman" w:hAnsi="Times New Roman"/>
          <w:sz w:val="20"/>
        </w:rPr>
        <w:t xml:space="preserve">When either party to a contract has performed, the Group presents the contract in the consolidated balance sheets as a contract asset or a contract liability, depending on the relationship between the entity’s performance and the customer’s payment. </w:t>
      </w:r>
    </w:p>
    <w:p>
      <w:pPr>
        <w:pStyle w:val="TextBody"/>
        <w:bidi w:val="0"/>
        <w:spacing w:before="120" w:after="0"/>
        <w:jc w:val="left"/>
        <w:rPr>
          <w:rFonts w:ascii="Times New Roman" w:hAnsi="Times New Roman"/>
          <w:sz w:val="20"/>
        </w:rPr>
      </w:pPr>
      <w:r>
        <w:rPr>
          <w:rFonts w:ascii="Times New Roman" w:hAnsi="Times New Roman"/>
          <w:sz w:val="20"/>
        </w:rPr>
        <w:t xml:space="preserve">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w:t>
      </w:r>
    </w:p>
    <w:p>
      <w:pPr>
        <w:pStyle w:val="TextBody"/>
        <w:bidi w:val="0"/>
        <w:spacing w:before="120" w:after="0"/>
        <w:jc w:val="left"/>
        <w:rPr>
          <w:rFonts w:ascii="Times New Roman" w:hAnsi="Times New Roman"/>
          <w:sz w:val="20"/>
        </w:rPr>
      </w:pPr>
      <w:r>
        <w:rPr>
          <w:rFonts w:ascii="Times New Roman" w:hAnsi="Times New Roman"/>
          <w:sz w:val="20"/>
        </w:rPr>
        <w:t xml:space="preserve">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primarily result from the multiple performance obligations identified in the vehicle sales contract, which are recorded as deferred revenue and recognized as revenue based on the consumption of the services or the delivery of the goods.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 Revenue recognition(continued)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Vehicle sales </w:t>
      </w:r>
    </w:p>
    <w:p>
      <w:pPr>
        <w:pStyle w:val="TextBody"/>
        <w:bidi w:val="0"/>
        <w:spacing w:before="120" w:after="0"/>
        <w:jc w:val="left"/>
        <w:rPr>
          <w:rFonts w:ascii="Times New Roman" w:hAnsi="Times New Roman"/>
          <w:sz w:val="20"/>
        </w:rPr>
      </w:pPr>
      <w:r>
        <w:rPr>
          <w:rFonts w:ascii="Times New Roman" w:hAnsi="Times New Roman"/>
          <w:sz w:val="20"/>
        </w:rPr>
        <w:t xml:space="preserve">The Group generates revenue from sales of vehicles, together with a number of embedded products and services through a contract. There are multiple distinct performance obligations explicitly stated in a sales contract including sales of vehicle, free battery charging within 2 to 6 years, extended lifetime warranty, option between household charging pile and charging card, vehicle internet connection services, services of lifetime free battery charging in XPeng-branded supercharging stations, lifetime warranty of battery and customer loyalty point, which are defined by the Group’s sales policy and accounted for in accordance with ASC 606. The standard warranty provided by the Group is accounted for in accordance with ASC 460, Guarantees, and the estimated costs are recorded as a liability when the Group transfers the control of vehicle to a customer. </w:t>
      </w:r>
    </w:p>
    <w:p>
      <w:pPr>
        <w:pStyle w:val="TextBody"/>
        <w:bidi w:val="0"/>
        <w:spacing w:before="120" w:after="0"/>
        <w:jc w:val="left"/>
        <w:rPr>
          <w:rFonts w:ascii="Times New Roman" w:hAnsi="Times New Roman"/>
          <w:sz w:val="20"/>
        </w:rPr>
      </w:pPr>
      <w:r>
        <w:rPr>
          <w:rFonts w:ascii="Times New Roman" w:hAnsi="Times New Roman"/>
          <w:sz w:val="20"/>
        </w:rPr>
        <w:t xml:space="preserve">In the instance that some eligible customers select to pay by installments for vehicles or batteries under an auto financing program provided to the customers by the Group, such arrangement contains a significant financing component and as a result, the transaction price is adjusted to reflect the impact of time value of the transaction price using an applicable discount rate (i.e. the interest rates of the loan reflecting the credit risk of the borrower). The Group allocates the financing amount to all performance obligations proportionately based on their relative selling prices, as conditions prescribed under ASC </w:t>
      </w:r>
    </w:p>
    <w:p>
      <w:pPr>
        <w:pStyle w:val="TextBody"/>
        <w:bidi w:val="0"/>
        <w:spacing w:before="120" w:after="0"/>
        <w:jc w:val="left"/>
        <w:rPr>
          <w:rFonts w:ascii="Times New Roman" w:hAnsi="Times New Roman"/>
          <w:sz w:val="20"/>
        </w:rPr>
      </w:pPr>
      <w:r>
        <w:rPr>
          <w:rFonts w:ascii="Times New Roman" w:hAnsi="Times New Roman"/>
          <w:sz w:val="20"/>
        </w:rPr>
        <w:t>606-10-32-37</w:t>
      </w:r>
    </w:p>
    <w:p>
      <w:pPr>
        <w:pStyle w:val="TextBody"/>
        <w:bidi w:val="0"/>
        <w:spacing w:before="120" w:after="0"/>
        <w:jc w:val="left"/>
        <w:rPr>
          <w:rFonts w:ascii="Times New Roman" w:hAnsi="Times New Roman"/>
          <w:sz w:val="20"/>
        </w:rPr>
      </w:pPr>
      <w:r>
        <w:rPr>
          <w:rFonts w:ascii="Times New Roman" w:hAnsi="Times New Roman"/>
          <w:sz w:val="20"/>
        </w:rPr>
        <w:t xml:space="preserve">are not met. </w:t>
      </w:r>
    </w:p>
    <w:p>
      <w:pPr>
        <w:pStyle w:val="TextBody"/>
        <w:bidi w:val="0"/>
        <w:spacing w:before="120" w:after="0"/>
        <w:jc w:val="left"/>
        <w:rPr>
          <w:rFonts w:ascii="Times New Roman" w:hAnsi="Times New Roman"/>
          <w:sz w:val="20"/>
        </w:rPr>
      </w:pPr>
      <w:r>
        <w:rPr>
          <w:rFonts w:ascii="Times New Roman" w:hAnsi="Times New Roman"/>
          <w:sz w:val="20"/>
        </w:rPr>
        <w:t xml:space="preserve">Receivables related to the vehicle and battery installment payments are recognized as installment payment receivables. The difference between the gross receivable and the respective present value is recorded as unrealized finance income. Interest income resulting from arrangements with a significant financing component is presented as services and others. </w:t>
      </w:r>
    </w:p>
    <w:p>
      <w:pPr>
        <w:pStyle w:val="TextBody"/>
        <w:bidi w:val="0"/>
        <w:spacing w:before="120" w:after="0"/>
        <w:jc w:val="left"/>
        <w:rPr>
          <w:rFonts w:ascii="Times New Roman" w:hAnsi="Times New Roman"/>
          <w:sz w:val="20"/>
        </w:rPr>
      </w:pPr>
      <w:r>
        <w:rPr>
          <w:rFonts w:ascii="Times New Roman" w:hAnsi="Times New Roman"/>
          <w:sz w:val="20"/>
        </w:rPr>
        <w:t xml:space="preserve">The overall contract price of vehicle, and related products and services is allocated to each distinct performance obligation based on the relative estimated standalone selling price. The revenue for sales of the vehicle and household charging pile is recognized at a point in time, when the control of the vehicle is transferred to the customer and the charging pile is installed at customer’s designated 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 Revenue recognition (continued) </w:t>
      </w:r>
    </w:p>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Vehicle sales (continued)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For vehicle internet connection service, the Group recognizes the revenue using a straight-line method. For the extended lifetime warranty and lifetime battery warranty, the Group recognizes revenue over time based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cost-to-cost</w:t>
      </w:r>
    </w:p>
    <w:p>
      <w:pPr>
        <w:pStyle w:val="TextBody"/>
        <w:bidi w:val="0"/>
        <w:spacing w:before="0" w:after="0"/>
        <w:jc w:val="left"/>
        <w:rPr>
          <w:rFonts w:ascii="Times New Roman" w:hAnsi="Times New Roman"/>
          <w:sz w:val="20"/>
        </w:rPr>
      </w:pPr>
      <w:r>
        <w:rPr>
          <w:rFonts w:ascii="Times New Roman" w:hAnsi="Times New Roman"/>
          <w:sz w:val="20"/>
        </w:rPr>
        <w:t xml:space="preserve">method. For the free battery charging within 2 to 6 years and charging card to be consumed to exchange for charging services, the Group considers that a measure of progress based on usage best reflects the performance, as it is typically a promise to deliver the underlying service rather than a promise to stand ready. For the services of lifetime free battery charging in XPeng-branded supercharging stations, the Group recognizes the revenue over time based on a straight-line method during the expected useful life of the vehicle.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Initial refundable deposits for intention orders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120" w:after="0"/>
        <w:jc w:val="left"/>
        <w:rPr>
          <w:rFonts w:ascii="Times New Roman" w:hAnsi="Times New Roman"/>
          <w:sz w:val="20"/>
        </w:rPr>
      </w:pPr>
      <w:r>
        <w:rPr>
          <w:rFonts w:ascii="Times New Roman" w:hAnsi="Times New Roman"/>
          <w:sz w:val="20"/>
        </w:rPr>
        <w:t xml:space="preserve">deposits for vehicle reservations received from customers prior to vehicle purchase agreements are signed are recognized as refundable deposits from customers (accruals and other liabilities) and advances from customers (accruals and other liabilities). When vehicle purchase agreements are signed, if the consideration for the vehicle and all embedded services must be paid in advance, which means the payments received are prior to the transfer of goods or services by the Group, the Group records a contract liability (deferred revenue) for the allocated amount relating to those unperformed obligations. At the same time, advances from customers are classified as a contract liability (deferred revenue) as part of the consideration.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Services and others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Other services included services embedded in sales contracts, supercharging service, maintenance service, technical support services, technical research and development services and second-hand vehicle sales service. These services are recognized either over time or point in time, as appropriate, under ASC 606.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licenses a car manufacturer with right to use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in-house</w:t>
      </w:r>
    </w:p>
    <w:p>
      <w:pPr>
        <w:pStyle w:val="TextBody"/>
        <w:bidi w:val="0"/>
        <w:spacing w:before="120" w:after="0"/>
        <w:jc w:val="left"/>
        <w:rPr>
          <w:rFonts w:ascii="Times New Roman" w:hAnsi="Times New Roman"/>
          <w:sz w:val="20"/>
        </w:rPr>
      </w:pPr>
      <w:r>
        <w:rPr>
          <w:rFonts w:ascii="Times New Roman" w:hAnsi="Times New Roman"/>
          <w:sz w:val="20"/>
        </w:rPr>
        <w:t xml:space="preserve">developed platform and technology, and provides technical research and development services to integrate the Group’s technology into the car manufacturer’s vehicles and platforms.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Before the start of production of the car manufacturer’s vehicles (“SOP”), the Group provides technical research and development (“R&amp;D”) services, provides license of its owned intellectual property, or transfers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120" w:after="0"/>
        <w:jc w:val="left"/>
        <w:rPr>
          <w:rFonts w:ascii="Times New Roman" w:hAnsi="Times New Roman"/>
          <w:sz w:val="20"/>
        </w:rPr>
      </w:pPr>
      <w:r>
        <w:rPr>
          <w:rFonts w:ascii="Times New Roman" w:hAnsi="Times New Roman"/>
          <w:sz w:val="20"/>
        </w:rPr>
        <w:t xml:space="preserve">pack to the car manufacturer. The Group concludes that the licensing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120" w:after="0"/>
        <w:jc w:val="left"/>
        <w:rPr>
          <w:rFonts w:ascii="Times New Roman" w:hAnsi="Times New Roman"/>
          <w:sz w:val="20"/>
        </w:rPr>
      </w:pPr>
      <w:r>
        <w:rPr>
          <w:rFonts w:ascii="Times New Roman" w:hAnsi="Times New Roman"/>
          <w:sz w:val="20"/>
        </w:rPr>
        <w:t xml:space="preserve">pack transfers are bundled with technical R&amp;D services as one single performance obligation, since the customer cannot benefit from the licenses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120" w:after="0"/>
        <w:jc w:val="left"/>
        <w:rPr>
          <w:rFonts w:ascii="Times New Roman" w:hAnsi="Times New Roman"/>
          <w:sz w:val="20"/>
        </w:rPr>
      </w:pPr>
      <w:r>
        <w:rPr>
          <w:rFonts w:ascii="Times New Roman" w:hAnsi="Times New Roman"/>
          <w:sz w:val="20"/>
        </w:rPr>
        <w:t xml:space="preserve">pack either on its own or together with other resources that are readily available to itself.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licensing involved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post-SOP</w:t>
      </w:r>
    </w:p>
    <w:p>
      <w:pPr>
        <w:pStyle w:val="TextBody"/>
        <w:bidi w:val="0"/>
        <w:spacing w:before="120" w:after="0"/>
        <w:jc w:val="left"/>
        <w:rPr>
          <w:rFonts w:ascii="Times New Roman" w:hAnsi="Times New Roman"/>
          <w:sz w:val="20"/>
        </w:rPr>
      </w:pPr>
      <w:r>
        <w:rPr>
          <w:rFonts w:ascii="Times New Roman" w:hAnsi="Times New Roman"/>
          <w:sz w:val="20"/>
        </w:rPr>
        <w:t xml:space="preserve">phase primarily represents the right to enable the car manufacturer’s vehicles produced and sold with the technology and software developed based on the Group’s owned intellectual property. Other promises identified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post-SOP</w:t>
      </w:r>
    </w:p>
    <w:p>
      <w:pPr>
        <w:pStyle w:val="TextBody"/>
        <w:bidi w:val="0"/>
        <w:spacing w:before="120" w:after="0"/>
        <w:jc w:val="left"/>
        <w:rPr>
          <w:rFonts w:ascii="Times New Roman" w:hAnsi="Times New Roman"/>
          <w:sz w:val="20"/>
        </w:rPr>
      </w:pPr>
      <w:r>
        <w:rPr>
          <w:rFonts w:ascii="Times New Roman" w:hAnsi="Times New Roman"/>
          <w:sz w:val="20"/>
        </w:rPr>
        <w:t xml:space="preserve">phase are immaterial in the context of the contract. For those contracts with sales-based royalties, the sales-based royalty revenue is recognized when the car manufacturer’s subsequent sales occur.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contracts pursuant to which the Group creates an asset with no alternate use to the Group and has an enforceable right to payment from the car manufacturer for performance completed to date, licenses and technical R&amp;D services revenue is recognized over a period of the contract based on the progress towards completion of the performance obligation using input method, which is measured by reference to the contract costs incurred for the work performed up to the end of the reporting period as a percentage of the total estimated costs to complete the contract. Contract costs contains labor cost, material cost and other direct costs. </w:t>
      </w:r>
    </w:p>
    <w:p>
      <w:pPr>
        <w:pStyle w:val="TextBody"/>
        <w:bidi w:val="0"/>
        <w:spacing w:before="120" w:after="0"/>
        <w:jc w:val="left"/>
        <w:rPr>
          <w:rFonts w:ascii="Times New Roman" w:hAnsi="Times New Roman"/>
          <w:sz w:val="20"/>
        </w:rPr>
      </w:pPr>
      <w:r>
        <w:rPr>
          <w:rFonts w:ascii="Times New Roman" w:hAnsi="Times New Roman"/>
          <w:sz w:val="20"/>
        </w:rPr>
        <w:t xml:space="preserve">Fees entitled by the Group upon or post SOP of the car manufacturer’s vehicles are considered as variable consideration as there are binary outcomes regarding the fee entitlement. The Group estimates the amount of variable consideration using the most likely amount method and includes the estimated amount in the transaction price to the extent that it is probable that a significant reversal in the amount of cumulative revenue recognized will not occur when the uncertainty associated with the variable consideration is subsequently resolved. Upon achievement of certain key milestones as stipulated in the R&amp;D services contract, the Group determines that certain portions of the variable consideration, including amounts satisfied in prior periods, should be included in the transaction price for the current period. The remaining portions are excluded from the transaction price based on an assessment of facts and circumstances existing at the reporting date. The Group reassesses and updates its estimate at each reporting date until the uncertainty is resolved.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 Revenue recognition (continued) </w:t>
      </w:r>
    </w:p>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Services and others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portion of the consideration is paid in installments, which provides the customer with a significant benefit of financing. In this circumstance, the contract contains a significant financing component. Consequently, the transaction price is adjusted to reflect the time value of money using an applicable discount rate (i.e., a rate reflecting the credit characteristics of the party receiving financing in the contract). The rate to be used is determined at contract inception and is not reassessed. Receivables related to these installment payments are recognized as installment payment receivables. The difference between the gross receivable and its present value is recorded as unearned finance income. No interest income resulting from arrangements with a significant financing component is recorded as of the period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 Revenue recognition (continued) </w:t>
      </w:r>
    </w:p>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Practical expedients and exemptions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follows the guidance on immaterial promises when identifying performance obligations in the vehicle sales contracts and concludes that lifetime roadside assistance, traffic ticket inquiry service, courtesy car service,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on-site</w:t>
      </w:r>
    </w:p>
    <w:p>
      <w:pPr>
        <w:pStyle w:val="TextBody"/>
        <w:bidi w:val="0"/>
        <w:spacing w:before="120" w:after="0"/>
        <w:jc w:val="left"/>
        <w:rPr>
          <w:rFonts w:ascii="Times New Roman" w:hAnsi="Times New Roman"/>
          <w:sz w:val="20"/>
        </w:rPr>
      </w:pPr>
      <w:r>
        <w:rPr>
          <w:rFonts w:ascii="Times New Roman" w:hAnsi="Times New Roman"/>
          <w:sz w:val="20"/>
        </w:rPr>
        <w:t xml:space="preserve">troubleshooting, parts replacement service and others, are not performance obligations considering these services are value-added services to enhance customer experience rather than critical items for vehicle driving and forecasted that usage of these services will be very limited. The Group also performs an estimation on the standalone fair value of each promise applying a cost plus margin approach and concludes that the standalone fair value of foresaid services are insignificant individually and in aggregate, representing less than 1% of vehicle gross selling price and aggregate fair value of each individual promise. </w:t>
      </w:r>
    </w:p>
    <w:p>
      <w:pPr>
        <w:pStyle w:val="TextBody"/>
        <w:bidi w:val="0"/>
        <w:spacing w:before="120" w:after="0"/>
        <w:jc w:val="left"/>
        <w:rPr>
          <w:rFonts w:ascii="Times New Roman" w:hAnsi="Times New Roman"/>
          <w:sz w:val="20"/>
        </w:rPr>
      </w:pPr>
      <w:r>
        <w:rPr>
          <w:rFonts w:ascii="Times New Roman" w:hAnsi="Times New Roman"/>
          <w:sz w:val="20"/>
        </w:rPr>
        <w:t xml:space="preserve">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1% of the contract price, namely the lifetime roadside assistance, traffic ticket inquiry service, courtesy car service,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on-site</w:t>
      </w:r>
    </w:p>
    <w:p>
      <w:pPr>
        <w:pStyle w:val="TextBody"/>
        <w:bidi w:val="0"/>
        <w:spacing w:before="120" w:after="0"/>
        <w:jc w:val="left"/>
        <w:rPr>
          <w:rFonts w:ascii="Times New Roman" w:hAnsi="Times New Roman"/>
          <w:sz w:val="20"/>
        </w:rPr>
      </w:pPr>
      <w:r>
        <w:rPr>
          <w:rFonts w:ascii="Times New Roman" w:hAnsi="Times New Roman"/>
          <w:sz w:val="20"/>
        </w:rPr>
        <w:t xml:space="preserve">troubleshooting and parts replacement service and others. Related costs are then accrued instead.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 Cost of sales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Vehicle </w:t>
      </w:r>
    </w:p>
    <w:p>
      <w:pPr>
        <w:pStyle w:val="TextBody"/>
        <w:bidi w:val="0"/>
        <w:spacing w:before="120" w:after="0"/>
        <w:jc w:val="left"/>
        <w:rPr>
          <w:rFonts w:ascii="Times New Roman" w:hAnsi="Times New Roman"/>
          <w:sz w:val="20"/>
        </w:rPr>
      </w:pPr>
      <w:r>
        <w:rPr>
          <w:rFonts w:ascii="Times New Roman" w:hAnsi="Times New Roman"/>
          <w:sz w:val="20"/>
        </w:rPr>
        <w:t xml:space="preserve">Cost of vehicle revenue includes direct parts, materials, labor costs and manufacturing overheads (including depreciation and amortization of assets associated with the production) and reserves for estimated warranty expenses. Cost of vehicle revenue also includes charges to write-down the carrying value of the inventories when it exceeds its estimated net realizable value and to provide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on-hand</w:t>
      </w:r>
    </w:p>
    <w:p>
      <w:pPr>
        <w:pStyle w:val="TextBody"/>
        <w:bidi w:val="0"/>
        <w:spacing w:before="120" w:after="0"/>
        <w:jc w:val="left"/>
        <w:rPr>
          <w:rFonts w:ascii="Times New Roman" w:hAnsi="Times New Roman"/>
          <w:sz w:val="20"/>
        </w:rPr>
      </w:pPr>
      <w:r>
        <w:rPr>
          <w:rFonts w:ascii="Times New Roman" w:hAnsi="Times New Roman"/>
          <w:sz w:val="20"/>
        </w:rPr>
        <w:t xml:space="preserve">inventories that are either obsolete or in excess of forecasted demand, losses on purchase commitments relating to inventory, and impairment charge of property, plant and equipment.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Services and others </w:t>
      </w:r>
    </w:p>
    <w:p>
      <w:pPr>
        <w:pStyle w:val="TextBody"/>
        <w:bidi w:val="0"/>
        <w:spacing w:before="120" w:after="0"/>
        <w:jc w:val="left"/>
        <w:rPr>
          <w:rFonts w:ascii="Times New Roman" w:hAnsi="Times New Roman"/>
          <w:sz w:val="20"/>
        </w:rPr>
      </w:pPr>
      <w:r>
        <w:rPr>
          <w:rFonts w:ascii="Times New Roman" w:hAnsi="Times New Roman"/>
          <w:sz w:val="20"/>
        </w:rPr>
        <w:t xml:space="preserve">Cost of services and others revenue generally includes cost of direct parts, materials, labor costs, installment costs, costs associated with providing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non-warranty</w:t>
      </w:r>
    </w:p>
    <w:p>
      <w:pPr>
        <w:pStyle w:val="TextBody"/>
        <w:bidi w:val="0"/>
        <w:spacing w:before="120" w:after="0"/>
        <w:jc w:val="left"/>
        <w:rPr>
          <w:rFonts w:ascii="Times New Roman" w:hAnsi="Times New Roman"/>
          <w:sz w:val="20"/>
        </w:rPr>
      </w:pPr>
      <w:r>
        <w:rPr>
          <w:rFonts w:ascii="Times New Roman" w:hAnsi="Times New Roman"/>
          <w:sz w:val="20"/>
        </w:rPr>
        <w:t xml:space="preserve">after-sales services and depreciation of associated assets used for providing the services.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All costs associated with research and development (“R&amp;D”) are expensed as incurred. R&amp;D expenses consist primarily of employee compensation for those employees engaged in R&amp;D activities, design and development expenses with new technology, materials and supplies and other R&amp;D related expenses. For the years ended December 31, 2023, 2024 and 2025, R&amp;D expenses were RMB5,276,574, RMB6,456,734 and RMB9,489,979,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 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consist primarily of employee compensation and marketing, promotional and advertising expenses. Advertising expenses consist primarily of costs for the promotion of corporate image and product marketing. For the years ended December 31, 2023, 2024 and 2025, advertising costs were RMB413,832, RMB664,412 and RMB817,911, respectively, and total sales and marketing expenses were RMB5,013,734, RMB5,531,599 and RMB7,388,109, respectively.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employee compensation for employees involved in general corporate functions and those not specifically dedicated to R&amp;D activities, depreciation and amortization expenses, legal, and other professional services fees, lease and other general corporate related expenses. For the years ended December 31, 2023, 2024 and 2025, general and administrative expenses were RMB1,545,208, RMB1,339,045 and RMB2,010,347,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Full-time employees of the Group in the PRC participate in a government mandated defined contribution plan, pursuant to which certain pension benefits, work-related injury benefits, maternity insurance,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PRC government is responsible for the medical benefits and the pension liability to be paid to these employees and the Group’s obligations are limited to the amounts contributed and no legal obligation beyond the contributions made. There are no forfeited contribution that may be used by the Group as the employer to reduce the existing level of contributions. Total amounts of such employee benefit expenses, which were expensed as incurred, were approximately RMB750,002, RMB832,956 and RMB1,093,885 for the years ended December 31,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(x) Government grants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receives government grant subsidies from certain local government, which consist of specific subsidies and other subsidies. Specific subsidies are subsidies that the local government has provided for a specific purpose, such as research and development purpose, interest discount, purchase or construction of property, plant and equipment and intangible assets. Other subsidies are the subsidies that the local government has not specified its purpose and are not tied to the future trends or performance of the Group.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Specific subsidies are recorded when all conditions attached to the subsidies have been met or are expected to be met and there is reasonable assurance of their receipt, in accordance with their purpose as a reduction of expense, or an offset to the related capital asset.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Other subsidies are recognized immediately as other income upon receipt.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(y) Other income, net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the years ended December 31, 2023, 2024 and 2025, other income, net mainly represents government grants recognized in profit or loss of </w:t>
      </w:r>
    </w:p>
    <w:p>
      <w:pPr>
        <w:pStyle w:val="TextBody"/>
        <w:bidi w:val="0"/>
        <w:spacing w:before="120" w:after="0"/>
        <w:jc w:val="left"/>
        <w:rPr>
          <w:rFonts w:ascii="Times New Roman" w:hAnsi="Times New Roman"/>
          <w:sz w:val="20"/>
        </w:rPr>
      </w:pPr>
      <w:r>
        <w:rPr>
          <w:rFonts w:ascii="Times New Roman" w:hAnsi="Times New Roman"/>
          <w:sz w:val="20"/>
        </w:rPr>
        <w:t xml:space="preserve">RMB465,588, RMB589,227 and RMB1,761,419,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respectively.</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(z) Income taxes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consolidated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 </w:t>
      </w:r>
    </w:p>
    <w:p>
      <w:pPr>
        <w:pStyle w:val="TextBody"/>
        <w:bidi w:val="0"/>
        <w:spacing w:before="360" w:after="0"/>
        <w:ind w:left="0" w:right="0" w:hanging="0"/>
        <w:jc w:val="left"/>
        <w:rPr>
          <w:rFonts w:ascii="Times New Roman" w:hAnsi="Times New Roman"/>
          <w:sz w:val="20"/>
        </w:rPr>
      </w:pPr>
      <w:r>
        <w:rPr>
          <w:rFonts w:ascii="Times New Roman" w:hAnsi="Times New Roman"/>
          <w:sz w:val="20"/>
        </w:rPr>
        <w:t xml:space="preserve">Uncertain tax positions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The Group recognizes interests and penalties, if any, under accrued expenses and other current liabilities on its consolidated balance sheets and under other expenses in its consolidated statements of comprehensive loss. The Group did not recognize any significant interest and penalties associated with uncertain tax positions for the years ended December 31, 2023, 2024 and 2025. As of December 31, 2024 and 2025, the Group did not have any significant unrecognized uncertain tax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positions. </w:t>
      </w:r>
    </w:p>
    <w:p>
      <w:pPr>
        <w:pStyle w:val="TextBody"/>
        <w:bidi w:val="0"/>
        <w:spacing w:before="360" w:after="0"/>
        <w:ind w:left="0" w:right="0" w:hanging="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36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In December 2023, the Financial Accounting Standards Board (“FASB”) issued Accounting Standards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Income Tax Disclosures (Topic 740). The ASU requires disaggregated information about a reporting entity’s effective tax rate reconciliation as well as additional information on income taxes paid. We adopted this ASU on a prospective basis effective January 1, 2025. Refer to Note 24, Income Taxes for the inclusion of new disclosures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(aa) 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Group grants restricted share units (“RSUs”), restricted shares and share options (collectively, “Share-based Awards”) to eligible employees and accounts for share-based compensation in accordance with ASC 718, Compensation—Stock Compensation. Share-based Awards are measured at the grant date fair value of the awards and recognized as expenses using the graded vesting method or straight-line method, net of estimated forfeitures, if any, over the requisite service period. For awards with performance conditions, the Company would recognize compensation cost if and when it concludes that it is probable that the performance condition will be achieved. For awards with market conditions, the Company would recognize compensation cost for each tranche of market conditions over the expected achievement period of the market condition.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the RSUs granted prior to the completion of the IPO was assessed using the income approach/discounted cash flow method, with a discount for lack of marketability given that the shares underlying the awards were not publicly traded at the time of grant. This assessment requires complex and subjective judgments regarding the Company’s projected financial and operating results, its unique business risks, the liquidity of its ordinary shares and its operating history and prospects at the time the grants were made.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the RSUs granted subsequent to the completion of the IPO is estimated based on the fair market value of the underlying ordinary shares of the Company on the date of grant.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and the expected achievement period of the RSUs granted with market conditions are estimated on the grant date using Monte Carlo simulations.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(ab) Statutory and other reserves </w:t>
      </w:r>
    </w:p>
    <w:p>
      <w:pPr>
        <w:pStyle w:val="TextBody"/>
        <w:bidi w:val="0"/>
        <w:spacing w:before="120" w:after="0"/>
        <w:jc w:val="left"/>
        <w:rPr>
          <w:rFonts w:ascii="Times New Roman" w:hAnsi="Times New Roman"/>
          <w:sz w:val="20"/>
        </w:rPr>
      </w:pPr>
      <w:r>
        <w:rPr>
          <w:rFonts w:ascii="Times New Roman" w:hAnsi="Times New Roman"/>
          <w:sz w:val="20"/>
        </w:rPr>
        <w:t xml:space="preserve">The Group’s subsidiaries and the VIEs established in the PRC are required to make appropriations to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w:t>
      </w:r>
    </w:p>
    <w:p>
      <w:pPr>
        <w:pStyle w:val="TextBody"/>
        <w:bidi w:val="0"/>
        <w:spacing w:before="120" w:after="0"/>
        <w:jc w:val="left"/>
        <w:rPr>
          <w:rFonts w:ascii="Times New Roman" w:hAnsi="Times New Roman"/>
          <w:sz w:val="20"/>
        </w:rPr>
      </w:pPr>
      <w:r>
        <w:rPr>
          <w:rFonts w:ascii="Times New Roman" w:hAnsi="Times New Roman"/>
          <w:sz w:val="20"/>
        </w:rPr>
        <w:t xml:space="preserve">Starting from 1 January, 2025, in accordance with the laws applicable to PRC’s Foreign Investment Enterprises, the Group’s subsidiaries registered as wholly owned foreign enterprises must make appropriations from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 as determined under the Accounting Standards for Business Enterprises as promulgated by the Ministry of Finance of the People’s Republic of China (“PRC GAAP”)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including a statutory surplus fund and a discretionary surplus fund. The appropriation to the statutory surplus fund must be at least 10%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calculated in accordance with PRC GAAP. Appropriation is not required if the statutory surplus fund has reached 50% of the registered capital of the company. Appropriation to the discretionary surplus fund is made at the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addition, in accordance with the Company Laws of the PRC, the VIEs of the Company registered as PRC domestic companies must make appropriations from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 as determined under the PRC GAAP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including a statutory surplus fund and a discretionary surplus fund. The appropriation to the statutory surplus fund must be at least 10%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as determined under the PRC GAAP. Appropriation is not required if the statutory surplus fund has reached 50% of the registered capital of the company. Appropriation to the discretionary surplus fund is made at the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use of the statutory surplus fund and discretionary surplus fund is restricted to the offsetting of losses or increasing capital of the respective company. No reserves are allowed to be transferred to the Company in terms of cash dividends, loans or advances, nor can they be distributed except under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PRC law, manufacturing enterprises have to make appropriations for the safety production reserve, pursuant to the policies promulgated by the Ministry of Finance and the Ministry of Emergency Management of the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(ab) Statutory and other reserves(continued)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years ended December 31, 2023, 2024 and 2025, appropriations to the statutory surplus fund amounted to RMB53,610, RMB34,984 and RMB42,701,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Group applies ASC 220, Comprehensive Income, with respect to reporting and presentation of comprehensive loss and its components in a full set of financial statements. Comprehensive loss is defined to include all changes in equity of the Group during a period arising from transactions and other events and circumstances except those resulting from investments by shareholders and distributions to shareholders. For the years presented, the Group’s comprehensive loss includes net loss and other comprehensive income or loss, which primarily consists of the foreign currency translation adjustment that has been excluded from the determination of net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 Leases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2016, the FASB issued ASC 842, Leases, to require lessees to recognize all leases, with certain exceptions, on the balance sheets,while recognition on the statement of operations will remain similar to lease accounting under ASC 840. Subsequently, the FASB issued ASU </w:t>
      </w:r>
    </w:p>
    <w:p>
      <w:pPr>
        <w:pStyle w:val="TextBody"/>
        <w:bidi w:val="0"/>
        <w:spacing w:before="120" w:after="0"/>
        <w:jc w:val="left"/>
        <w:rPr>
          <w:rFonts w:ascii="Times New Roman" w:hAnsi="Times New Roman"/>
          <w:sz w:val="20"/>
        </w:rPr>
      </w:pPr>
      <w:r>
        <w:rPr>
          <w:rFonts w:ascii="Times New Roman" w:hAnsi="Times New Roman"/>
          <w:sz w:val="20"/>
        </w:rPr>
        <w:t>No. 2018-10,</w:t>
      </w:r>
    </w:p>
    <w:p>
      <w:pPr>
        <w:pStyle w:val="TextBody"/>
        <w:bidi w:val="0"/>
        <w:spacing w:before="120" w:after="0"/>
        <w:jc w:val="left"/>
        <w:rPr>
          <w:rFonts w:ascii="Times New Roman" w:hAnsi="Times New Roman"/>
          <w:sz w:val="20"/>
        </w:rPr>
      </w:pPr>
      <w:r>
        <w:rPr>
          <w:rFonts w:ascii="Times New Roman" w:hAnsi="Times New Roman"/>
          <w:sz w:val="20"/>
        </w:rPr>
        <w:t xml:space="preserve">Codification Improvements to Topic 842, Leases, ASU </w:t>
      </w:r>
    </w:p>
    <w:p>
      <w:pPr>
        <w:pStyle w:val="TextBody"/>
        <w:bidi w:val="0"/>
        <w:spacing w:before="120" w:after="0"/>
        <w:jc w:val="left"/>
        <w:rPr>
          <w:rFonts w:ascii="Times New Roman" w:hAnsi="Times New Roman"/>
          <w:sz w:val="20"/>
        </w:rPr>
      </w:pPr>
      <w:r>
        <w:rPr>
          <w:rFonts w:ascii="Times New Roman" w:hAnsi="Times New Roman"/>
          <w:sz w:val="20"/>
        </w:rPr>
        <w:t>No. 2018-11,</w:t>
      </w:r>
    </w:p>
    <w:p>
      <w:pPr>
        <w:pStyle w:val="TextBody"/>
        <w:bidi w:val="0"/>
        <w:spacing w:before="120" w:after="0"/>
        <w:jc w:val="left"/>
        <w:rPr>
          <w:rFonts w:ascii="Times New Roman" w:hAnsi="Times New Roman"/>
          <w:sz w:val="20"/>
        </w:rPr>
      </w:pPr>
      <w:r>
        <w:rPr>
          <w:rFonts w:ascii="Times New Roman" w:hAnsi="Times New Roman"/>
          <w:sz w:val="20"/>
        </w:rPr>
        <w:t xml:space="preserve">Targeted Improvements, ASU </w:t>
      </w:r>
    </w:p>
    <w:p>
      <w:pPr>
        <w:pStyle w:val="TextBody"/>
        <w:bidi w:val="0"/>
        <w:spacing w:before="120" w:after="0"/>
        <w:jc w:val="left"/>
        <w:rPr>
          <w:rFonts w:ascii="Times New Roman" w:hAnsi="Times New Roman"/>
          <w:sz w:val="20"/>
        </w:rPr>
      </w:pPr>
      <w:r>
        <w:rPr>
          <w:rFonts w:ascii="Times New Roman" w:hAnsi="Times New Roman"/>
          <w:sz w:val="20"/>
        </w:rPr>
        <w:t>No. 2018-20,</w:t>
      </w:r>
    </w:p>
    <w:p>
      <w:pPr>
        <w:pStyle w:val="TextBody"/>
        <w:bidi w:val="0"/>
        <w:spacing w:before="120" w:after="0"/>
        <w:jc w:val="left"/>
        <w:rPr>
          <w:rFonts w:ascii="Times New Roman" w:hAnsi="Times New Roman"/>
          <w:sz w:val="20"/>
        </w:rPr>
      </w:pPr>
      <w:r>
        <w:rPr>
          <w:rFonts w:ascii="Times New Roman" w:hAnsi="Times New Roman"/>
          <w:sz w:val="20"/>
        </w:rPr>
        <w:t xml:space="preserve">Narrow-Scope Improvements for Lessors, and ASU </w:t>
      </w:r>
    </w:p>
    <w:p>
      <w:pPr>
        <w:pStyle w:val="TextBody"/>
        <w:bidi w:val="0"/>
        <w:spacing w:before="120" w:after="0"/>
        <w:jc w:val="left"/>
        <w:rPr>
          <w:rFonts w:ascii="Times New Roman" w:hAnsi="Times New Roman"/>
          <w:sz w:val="20"/>
        </w:rPr>
      </w:pPr>
      <w:r>
        <w:rPr>
          <w:rFonts w:ascii="Times New Roman" w:hAnsi="Times New Roman"/>
          <w:sz w:val="20"/>
        </w:rPr>
        <w:t>2019-01,</w:t>
      </w:r>
    </w:p>
    <w:p>
      <w:pPr>
        <w:pStyle w:val="TextBody"/>
        <w:bidi w:val="0"/>
        <w:spacing w:before="120" w:after="0"/>
        <w:jc w:val="left"/>
        <w:rPr>
          <w:rFonts w:ascii="Times New Roman" w:hAnsi="Times New Roman"/>
          <w:sz w:val="20"/>
        </w:rPr>
      </w:pPr>
      <w:r>
        <w:rPr>
          <w:rFonts w:ascii="Times New Roman" w:hAnsi="Times New Roman"/>
          <w:sz w:val="20"/>
        </w:rPr>
        <w:t xml:space="preserve">Codification Improvements, to clarify and amend the guidance in ASU </w:t>
      </w:r>
    </w:p>
    <w:p>
      <w:pPr>
        <w:pStyle w:val="TextBody"/>
        <w:bidi w:val="0"/>
        <w:spacing w:before="120" w:after="0"/>
        <w:jc w:val="left"/>
        <w:rPr>
          <w:rFonts w:ascii="Times New Roman" w:hAnsi="Times New Roman"/>
          <w:sz w:val="20"/>
        </w:rPr>
      </w:pPr>
      <w:r>
        <w:rPr>
          <w:rFonts w:ascii="Times New Roman" w:hAnsi="Times New Roman"/>
          <w:sz w:val="20"/>
        </w:rPr>
        <w:t>No. 2016-02.</w:t>
      </w:r>
    </w:p>
    <w:p>
      <w:pPr>
        <w:pStyle w:val="TextBody"/>
        <w:bidi w:val="0"/>
        <w:spacing w:before="120" w:after="0"/>
        <w:jc w:val="left"/>
        <w:rPr>
          <w:rFonts w:ascii="Times New Roman" w:hAnsi="Times New Roman"/>
          <w:sz w:val="20"/>
        </w:rPr>
      </w:pPr>
      <w:r>
        <w:rPr>
          <w:rFonts w:ascii="Times New Roman" w:hAnsi="Times New Roman"/>
          <w:sz w:val="20"/>
        </w:rPr>
        <w:t xml:space="preserve">ASC 842 eliminates real estate-specific provisions and modifies certain aspects of lessor accounting. </w:t>
      </w:r>
    </w:p>
    <w:p>
      <w:pPr>
        <w:pStyle w:val="TextBody"/>
        <w:bidi w:val="0"/>
        <w:spacing w:before="360" w:after="0"/>
        <w:jc w:val="left"/>
        <w:rPr>
          <w:rFonts w:ascii="Times New Roman" w:hAnsi="Times New Roman"/>
          <w:i/>
          <w:sz w:val="20"/>
        </w:rPr>
      </w:pPr>
      <w:r>
        <w:rPr>
          <w:rFonts w:ascii="Times New Roman" w:hAnsi="Times New Roman"/>
          <w:i/>
          <w:sz w:val="20"/>
        </w:rPr>
        <w:t xml:space="preserve">(a) As a lessee </w:t>
      </w:r>
    </w:p>
    <w:p>
      <w:pPr>
        <w:pStyle w:val="TextBody"/>
        <w:bidi w:val="0"/>
        <w:spacing w:before="120" w:after="0"/>
        <w:jc w:val="left"/>
        <w:rPr>
          <w:rFonts w:ascii="Times New Roman" w:hAnsi="Times New Roman"/>
          <w:sz w:val="20"/>
        </w:rPr>
      </w:pPr>
      <w:r>
        <w:rPr>
          <w:rFonts w:ascii="Times New Roman" w:hAnsi="Times New Roman"/>
          <w:sz w:val="20"/>
        </w:rPr>
        <w:t xml:space="preserve">The Group early adopted the ASUs as of January 1, 2018 using the cumulative effect adjustment approach. Upon adoption, the Group elected the package of practical expedients permitted under the transition guidance within the new standard, which allowed the Group to carry forward the historical determination of contracts as leases, lease classification and not reassess initial direct costs for historical lease arrangements. In addition, the Group also elected the practical expedient to apply consistently to all of the Group’s leases to use hindsight in determining the lease term (that is, when considering lessee options to extend or terminate the lease and to purchase the underlying asset) and in assessing impairment of the Group’s </w:t>
      </w:r>
    </w:p>
    <w:p>
      <w:pPr>
        <w:pStyle w:val="TextBody"/>
        <w:bidi w:val="0"/>
        <w:spacing w:before="120" w:after="0"/>
        <w:jc w:val="left"/>
        <w:rPr>
          <w:rFonts w:ascii="Times New Roman" w:hAnsi="Times New Roman"/>
          <w:sz w:val="20"/>
        </w:rPr>
      </w:pPr>
      <w:r>
        <w:rPr>
          <w:rFonts w:ascii="Times New Roman" w:hAnsi="Times New Roman"/>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recognized lease assets and lease liabilities related to substantially all of the Group’s lease arrangements in the consolidated balance sheets. Operating lease assets are included within “Land use rights, net” and </w:t>
      </w:r>
    </w:p>
    <w:p>
      <w:pPr>
        <w:pStyle w:val="TextBody"/>
        <w:bidi w:val="0"/>
        <w:spacing w:before="120" w:after="0"/>
        <w:jc w:val="left"/>
        <w:rPr/>
      </w:pPr>
      <w:r>
        <w:rPr/>
        <w:t>“</w:t>
      </w:r>
      <w:r>
        <w:rPr>
          <w:rFonts w:ascii="Times New Roman" w:hAnsi="Times New Roman"/>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net”, and the corresponding operating lease liabilities are included within “Operating lease liabilities, current portion” for the current portion, and within “Operating lease liabilities” for the long-term portion on the consolidated balance sheets as of December 31, 2024 and 2025. Finance lease assets are included within “Property, plant and equipment, net” and the corresponding finance lease liabilities are included within “Finance lease liabilities, current portion” for the current portion, and within “Finance lease liabilities” for the long-term portion on the consolidated balance sheets as of December 31, 2024 and 2025. </w:t>
      </w:r>
    </w:p>
    <w:p>
      <w:pPr>
        <w:pStyle w:val="TextBody"/>
        <w:bidi w:val="0"/>
        <w:spacing w:before="120" w:after="0"/>
        <w:jc w:val="left"/>
        <w:rPr>
          <w:rFonts w:ascii="Times New Roman" w:hAnsi="Times New Roman"/>
          <w:sz w:val="20"/>
        </w:rPr>
      </w:pPr>
      <w:r>
        <w:rPr>
          <w:rFonts w:ascii="Times New Roman" w:hAnsi="Times New Roman"/>
          <w:sz w:val="20"/>
        </w:rPr>
        <w:t xml:space="preserve">The Group has lease agreements with lease and </w:t>
      </w:r>
    </w:p>
    <w:p>
      <w:pPr>
        <w:pStyle w:val="TextBody"/>
        <w:bidi w:val="0"/>
        <w:spacing w:before="120" w:after="0"/>
        <w:jc w:val="left"/>
        <w:rPr>
          <w:rFonts w:ascii="Times New Roman" w:hAnsi="Times New Roman"/>
          <w:sz w:val="20"/>
        </w:rPr>
      </w:pPr>
      <w:r>
        <w:rPr>
          <w:rFonts w:ascii="Times New Roman" w:hAnsi="Times New Roman"/>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and has elected to utilize the practical expedient to account for the </w:t>
      </w:r>
    </w:p>
    <w:p>
      <w:pPr>
        <w:pStyle w:val="TextBody"/>
        <w:bidi w:val="0"/>
        <w:spacing w:before="120" w:after="0"/>
        <w:jc w:val="left"/>
        <w:rPr>
          <w:rFonts w:ascii="Times New Roman" w:hAnsi="Times New Roman"/>
          <w:sz w:val="20"/>
        </w:rPr>
      </w:pPr>
      <w:r>
        <w:rPr>
          <w:rFonts w:ascii="Times New Roman" w:hAnsi="Times New Roman"/>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together with the associated lease component as a single combined lease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(ad) Leases (continued)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 As a lessee(continued)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has elected not to present short-term leases on the consolidated balance sheets as these leases have a lease term of 12 months or less at commencement date of the lease and do not include options to purchase or renew that the Group is reasonably certain to exercise. The Group recognizes lease expenses for such short-term lease generally on a straight-line basis over the lease term. All other lease assets and lease liabilities are recognized based on the present value of lease payments over the lease term at commencement date. Because most of the Group’s leases do not provide an implicit rate of return, the Group uses the Group’s incremental borrowing rate based on the information available at adoption date or lease commencement date in determining the present value of lease payments. The incremental borrowing rate is a hypothetical rate based on the Group’s understanding of what its credit rating would be to borrow and resulting interest the Group would pay to borrow an amount equal to the lease payments in a similar economic environment over the lease term on a collateralized basis. </w:t>
      </w:r>
    </w:p>
    <w:p>
      <w:pPr>
        <w:pStyle w:val="TextBody"/>
        <w:bidi w:val="0"/>
        <w:spacing w:before="360" w:after="0"/>
        <w:jc w:val="left"/>
        <w:rPr>
          <w:rFonts w:ascii="Times New Roman" w:hAnsi="Times New Roman"/>
          <w:i/>
          <w:sz w:val="20"/>
        </w:rPr>
      </w:pPr>
      <w:r>
        <w:rPr>
          <w:rFonts w:ascii="Times New Roman" w:hAnsi="Times New Roman"/>
          <w:i/>
          <w:sz w:val="20"/>
        </w:rPr>
        <w:t xml:space="preserve">(b) As a lessor </w:t>
      </w:r>
    </w:p>
    <w:p>
      <w:pPr>
        <w:pStyle w:val="TextBody"/>
        <w:bidi w:val="0"/>
        <w:spacing w:before="120" w:after="0"/>
        <w:jc w:val="left"/>
        <w:rPr>
          <w:rFonts w:ascii="Times New Roman" w:hAnsi="Times New Roman"/>
          <w:sz w:val="20"/>
        </w:rPr>
      </w:pPr>
      <w:r>
        <w:rPr>
          <w:rFonts w:ascii="Times New Roman" w:hAnsi="Times New Roman"/>
          <w:sz w:val="20"/>
        </w:rPr>
        <w:t xml:space="preserve">The Group provides vehicle leasing services to customers under operating lease. The Group recognizes the lease payments as vehicle leasing income in profit or loss over the lease term on a straight-line basis. </w:t>
      </w:r>
    </w:p>
    <w:p>
      <w:pPr>
        <w:pStyle w:val="TextBody"/>
        <w:bidi w:val="0"/>
        <w:spacing w:before="120" w:after="0"/>
        <w:jc w:val="left"/>
        <w:rPr>
          <w:rFonts w:ascii="Times New Roman" w:hAnsi="Times New Roman"/>
          <w:sz w:val="20"/>
        </w:rPr>
      </w:pPr>
      <w:r>
        <w:rPr>
          <w:rFonts w:ascii="Times New Roman" w:hAnsi="Times New Roman"/>
          <w:sz w:val="20"/>
        </w:rPr>
        <w:t xml:space="preserve">The vehicle leasing income was immaterial for the years ended December 31, 2023, 2024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Group classifies a lease as a sales-type lease when the lease meets one of the following criteria at lease commencement: </w:t>
      </w:r>
    </w:p>
    <w:p>
      <w:pPr>
        <w:pStyle w:val="TextBody"/>
        <w:bidi w:val="0"/>
        <w:spacing w:before="120" w:after="0"/>
        <w:jc w:val="left"/>
        <w:rPr>
          <w:rFonts w:ascii="Times New Roman" w:hAnsi="Times New Roman"/>
          <w:sz w:val="20"/>
        </w:rPr>
      </w:pPr>
      <w:r>
        <w:rPr>
          <w:rFonts w:ascii="Times New Roman" w:hAnsi="Times New Roman"/>
          <w:sz w:val="20"/>
        </w:rPr>
        <w:t xml:space="preserve">i. The lease transfers ownership of the underlying asset to the lessee by the end of the lease term. </w:t>
      </w:r>
    </w:p>
    <w:p>
      <w:pPr>
        <w:pStyle w:val="TextBody"/>
        <w:bidi w:val="0"/>
        <w:spacing w:before="120" w:after="0"/>
        <w:jc w:val="left"/>
        <w:rPr>
          <w:rFonts w:ascii="Times New Roman" w:hAnsi="Times New Roman"/>
          <w:sz w:val="20"/>
        </w:rPr>
      </w:pPr>
      <w:r>
        <w:rPr>
          <w:rFonts w:ascii="Times New Roman" w:hAnsi="Times New Roman"/>
          <w:sz w:val="20"/>
        </w:rPr>
        <w:t xml:space="preserve">ii. The lease grants the lessee an option to purchase the underlying asset that the lessee is reasonably certain to exercise. </w:t>
      </w:r>
    </w:p>
    <w:p>
      <w:pPr>
        <w:pStyle w:val="TextBody"/>
        <w:bidi w:val="0"/>
        <w:spacing w:before="120" w:after="0"/>
        <w:jc w:val="left"/>
        <w:rPr>
          <w:rFonts w:ascii="Times New Roman" w:hAnsi="Times New Roman"/>
          <w:sz w:val="20"/>
        </w:rPr>
      </w:pPr>
      <w:r>
        <w:rPr>
          <w:rFonts w:ascii="Times New Roman" w:hAnsi="Times New Roman"/>
          <w:sz w:val="20"/>
        </w:rPr>
        <w:t xml:space="preserve">iii. The lease term is for the major part of the remaining economic life of the underlying asset. </w:t>
      </w:r>
    </w:p>
    <w:p>
      <w:pPr>
        <w:pStyle w:val="TextBody"/>
        <w:bidi w:val="0"/>
        <w:spacing w:before="120" w:after="0"/>
        <w:jc w:val="left"/>
        <w:rPr>
          <w:rFonts w:ascii="Times New Roman" w:hAnsi="Times New Roman"/>
          <w:sz w:val="20"/>
        </w:rPr>
      </w:pPr>
      <w:r>
        <w:rPr>
          <w:rFonts w:ascii="Times New Roman" w:hAnsi="Times New Roman"/>
          <w:sz w:val="20"/>
        </w:rPr>
        <w:t xml:space="preserve">iv. The present value of the sum of the lease payments and any residual value guaranteed by the lessee that is not already reflected in the lease payments equals or exceeds substantially all of the fair value of the underlying asset. </w:t>
      </w:r>
    </w:p>
    <w:p>
      <w:pPr>
        <w:pStyle w:val="TextBody"/>
        <w:bidi w:val="0"/>
        <w:spacing w:before="120" w:after="0"/>
        <w:jc w:val="left"/>
        <w:rPr>
          <w:rFonts w:ascii="Times New Roman" w:hAnsi="Times New Roman"/>
          <w:sz w:val="20"/>
        </w:rPr>
      </w:pPr>
      <w:r>
        <w:rPr>
          <w:rFonts w:ascii="Times New Roman" w:hAnsi="Times New Roman"/>
          <w:sz w:val="20"/>
        </w:rPr>
        <w:t xml:space="preserve">v. The underlying asset is of such a specialized nature that it is expected to have no alternative use to the lessor at the end of the lease term. </w:t>
      </w:r>
    </w:p>
    <w:p>
      <w:pPr>
        <w:pStyle w:val="TextBody"/>
        <w:bidi w:val="0"/>
        <w:spacing w:before="120" w:after="0"/>
        <w:jc w:val="left"/>
        <w:rPr>
          <w:rFonts w:ascii="Times New Roman" w:hAnsi="Times New Roman"/>
          <w:sz w:val="20"/>
        </w:rPr>
      </w:pPr>
      <w:r>
        <w:rPr>
          <w:rFonts w:ascii="Times New Roman" w:hAnsi="Times New Roman"/>
          <w:sz w:val="20"/>
        </w:rPr>
        <w:t xml:space="preserve">For a sales-type lease, when collectability is probable at lease commencement, the Group derecognizes the underlying asset, recognizes the net investment in the lease which is the sum of the lease receivable and the unguaranteed residual asset and recognizes in net income any selling profit or loss based on the business model. The net investment in the lease is presented as “Financial lease receivables, net”, which is included within “Other current asset” for the current portion, and within “Other </w:t>
      </w:r>
    </w:p>
    <w:p>
      <w:pPr>
        <w:pStyle w:val="TextBody"/>
        <w:bidi w:val="0"/>
        <w:spacing w:before="120" w:after="0"/>
        <w:jc w:val="left"/>
        <w:rPr>
          <w:rFonts w:ascii="Times New Roman" w:hAnsi="Times New Roman"/>
          <w:sz w:val="20"/>
        </w:rPr>
      </w:pPr>
      <w:r>
        <w:rPr>
          <w:rFonts w:ascii="Times New Roman" w:hAnsi="Times New Roman"/>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 for the long-term portion on the consolidated balance sheets as of December 31, 2024 and 2025. Finance lease receivables are carried at amortized cost comprising of original financing lease, net of unearned income. Interest income is recognized in financing income over the lease term using the interest method. </w:t>
      </w:r>
    </w:p>
    <w:p>
      <w:pPr>
        <w:pStyle w:val="TextBody"/>
        <w:bidi w:val="0"/>
        <w:spacing w:before="120" w:after="0"/>
        <w:jc w:val="left"/>
        <w:rPr>
          <w:rFonts w:ascii="Times New Roman" w:hAnsi="Times New Roman"/>
          <w:sz w:val="20"/>
        </w:rPr>
      </w:pPr>
      <w:r>
        <w:rPr>
          <w:rFonts w:ascii="Times New Roman" w:hAnsi="Times New Roman"/>
          <w:sz w:val="20"/>
        </w:rPr>
        <w:t xml:space="preserve">The Group provides </w:t>
      </w:r>
    </w:p>
    <w:p>
      <w:pPr>
        <w:pStyle w:val="TextBody"/>
        <w:bidi w:val="0"/>
        <w:spacing w:before="120" w:after="0"/>
        <w:jc w:val="left"/>
        <w:rPr>
          <w:rFonts w:ascii="Times New Roman" w:hAnsi="Times New Roman"/>
          <w:sz w:val="20"/>
        </w:rPr>
      </w:pPr>
      <w:r>
        <w:rPr>
          <w:rFonts w:ascii="Times New Roman" w:hAnsi="Times New Roman"/>
          <w:sz w:val="20"/>
        </w:rPr>
        <w:t>15-year</w:t>
      </w:r>
    </w:p>
    <w:p>
      <w:pPr>
        <w:pStyle w:val="TextBody"/>
        <w:bidi w:val="0"/>
        <w:spacing w:before="120" w:after="0"/>
        <w:jc w:val="left"/>
        <w:rPr>
          <w:rFonts w:ascii="Times New Roman" w:hAnsi="Times New Roman"/>
          <w:sz w:val="20"/>
        </w:rPr>
      </w:pPr>
      <w:r>
        <w:rPr>
          <w:rFonts w:ascii="Times New Roman" w:hAnsi="Times New Roman"/>
          <w:sz w:val="20"/>
        </w:rPr>
        <w:t xml:space="preserve">lease of factories under sales-type lease. As of December 31, 2024 and 2025, total minimum lease payment receivable is RMB231,621 and RMB215,619, respectively, and total finance lease receivables is RMB215,823 and RMB206,598,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(ae) Accounts payable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represent the amount due to the suppliers by the Group for the purchase of raw materials. The Group normally receives credit terms of 0 days to 60 days from its suppliers. Accounts payable were RMB15,181,585 and RMB18,001,675 as of December 31,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(af) Notes payable </w:t>
      </w:r>
    </w:p>
    <w:p>
      <w:pPr>
        <w:pStyle w:val="TextBody"/>
        <w:bidi w:val="0"/>
        <w:spacing w:before="120" w:after="0"/>
        <w:jc w:val="left"/>
        <w:rPr>
          <w:rFonts w:ascii="Times New Roman" w:hAnsi="Times New Roman"/>
          <w:sz w:val="20"/>
        </w:rPr>
      </w:pPr>
      <w:r>
        <w:rPr>
          <w:rFonts w:ascii="Times New Roman" w:hAnsi="Times New Roman"/>
          <w:sz w:val="20"/>
        </w:rPr>
        <w:t xml:space="preserve">Notes payable represent trade payables due to various suppliers, for which the banks have guaranteed the payment. The total notes payable, of which most were secured by pledged bank deposits (note 2(h)), amounted to RMB7,898,896 and RMB19,161,724 as of December 31, 2024 and 2025,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 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are recognized when declared. No dividend was declared for the years ended December 31, 2023, 2024 and 2025,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(ah) Earnings (losses)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(losses) per share is computed by dividing net income (loss) attributable to holders of ordinary shares, by the weighted average number of ordinary shares outstanding during the period using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net income is allocated between ordinary shares and other participating securities based on their participating rights. Diluted earnings (losses) per share is calculated by dividing net income (loss) attributable to ordinary shareholders, as adjusted for the effect of dilutive ordinary equivalent shares, if any, by the weighted average number of ordinary and dilutive ordinary equivalent shares outstanding during the period. Ordinary equivalent shares consist of unvested RSUs and contingently issuable shares relating to the contingent consideration. Ordinary equivalent shares are not included in the denominator of the diluted earnings per share calculation when inclusion of such shares would be anti-dilutive.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(ai)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ASC 280, Segment Reporting, establishes standards for companies to report in their financial statements information about operating segments, products, services, geographic areas, and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Based on the criteria established by ASC 280, the Group’s chief operating decision maker (“CODM”) has been identified as the Chief Executive Officer, who reviews consolidated revenue, gross profit and net loss when making decisions about allocating resources and assessing performance of the Group. As a whole and hence, the Group has only one reportable segment. As one reportable segment, the Group derives revenue from vehicle sales and the related business. </w:t>
      </w:r>
    </w:p>
    <w:p>
      <w:pPr>
        <w:pStyle w:val="TextBody"/>
        <w:bidi w:val="0"/>
        <w:spacing w:before="120" w:after="0"/>
        <w:jc w:val="left"/>
        <w:rPr>
          <w:rFonts w:ascii="Times New Roman" w:hAnsi="Times New Roman"/>
          <w:sz w:val="20"/>
        </w:rPr>
      </w:pPr>
      <w:r>
        <w:rPr>
          <w:rFonts w:ascii="Times New Roman" w:hAnsi="Times New Roman"/>
          <w:sz w:val="20"/>
        </w:rPr>
        <w:t xml:space="preserve">The Group does not distinguish between markets or segments for internal reporting. As the Group’s long-lived assets are substantially located in the PRC and the revenue is mainly generated in the PRC, no segment geographical information is presented. The CODM does not review any information regarding total assets on a reportable segment basis. </w:t>
      </w:r>
    </w:p>
    <w:p>
      <w:pPr>
        <w:pStyle w:val="TextBody"/>
        <w:bidi w:val="0"/>
        <w:spacing w:before="120" w:after="0"/>
        <w:jc w:val="left"/>
        <w:rPr>
          <w:rFonts w:ascii="Times New Roman" w:hAnsi="Times New Roman"/>
          <w:sz w:val="20"/>
        </w:rPr>
      </w:pPr>
      <w:r>
        <w:rPr>
          <w:rFonts w:ascii="Times New Roman" w:hAnsi="Times New Roman"/>
          <w:sz w:val="20"/>
        </w:rPr>
        <w:t xml:space="preserve">The primary measure of segment revenue and profitability for the Group’s operating segment is considered to be consolidated revenue, gross profit, and net loss. Significant segment expenses reviewed by the CODM on a regular basis included within net loss include cost of sales, research and development expenses, selling, general and administrative expenses which are separately presented on the Group’s consolidated statements of comprehensive loss. Other segment items within net loss include other income, net, fair value gain (loss) on derivative liability relating to the contingent consideration, interest income, interest expenses, investment (loss) gain on long-term investments, exchange gain (loss) from foreign currency transactions,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income, net, share of results of equity method investees, and income tax (expenses)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operating results of segment provided to and reviewed by CODM, please refer to the consolidated statements of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3. Recent Accounting Pronouncements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2024-03,</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result in the required additional disclosures being included in our consolidated financial statements, once adopted. We are currently evaluating the provisions of this ASU. </w:t>
      </w:r>
    </w:p>
    <w:p>
      <w:pPr>
        <w:pStyle w:val="TextBody"/>
        <w:bidi w:val="0"/>
        <w:spacing w:before="120" w:after="0"/>
        <w:jc w:val="left"/>
        <w:rPr>
          <w:rFonts w:ascii="Times New Roman" w:hAnsi="Times New Roman"/>
          <w:sz w:val="20"/>
        </w:rPr>
      </w:pPr>
      <w:r>
        <w:rPr>
          <w:rFonts w:ascii="Times New Roman" w:hAnsi="Times New Roman"/>
          <w:sz w:val="20"/>
        </w:rPr>
        <w:t xml:space="preserve">In July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2025-05,</w:t>
      </w:r>
    </w:p>
    <w:p>
      <w:pPr>
        <w:pStyle w:val="TextBody"/>
        <w:bidi w:val="0"/>
        <w:spacing w:before="120" w:after="0"/>
        <w:jc w:val="left"/>
        <w:rPr>
          <w:rFonts w:ascii="Times New Roman" w:hAnsi="Times New Roman"/>
          <w:sz w:val="20"/>
        </w:rPr>
      </w:pPr>
      <w:r>
        <w:rPr>
          <w:rFonts w:ascii="Times New Roman" w:hAnsi="Times New Roman"/>
          <w:sz w:val="20"/>
        </w:rPr>
        <w:t>Financial Instruments-Credit Losses (Topic 326) Measurement of Credit Losses for Accounts Receivable and Contract Assets, which provides all entities with practical expedient of developing reasonable and supportable forecasts as part of estimating expected credit losses, that assumes that current conditions as of the balance sheet date do not change for the remaining life of the asset.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is currently evaluating the impact of this pronouncement on its consolidated financial statements.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December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2025-10,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Government Grants (Topic 832): Accounting for Government Grants Received by Business Entities. The ASU establishes authoritative guidance in GAAP about accounting for government grants received by business 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on a modified prospective approach, a modified retrospective approach, or a retrospective approach. Early adoption is permitted. The Group is currently evaluating the impact of this pronouncement on its consolidated financial statements.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December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2025-11,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using either a prospective or a retrospective approach. Early adoption is permitted. The Group is currently evaluating the impact of this pronouncement on its consolidated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We adopted this ASU on a prospective basis effective January 1, 2025. Refer to Note 24, Taxation for the inclusion of new disclosures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Concentration and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Assets that potentially subject the Group to significant concentrations of credit risk primarily consist of cash and cash equivalents, restricted cash, short-term deposits, restricted short-term deposits, short-term investments, long-term deposits and restricted long-term deposits. The maximum exposure of such assets to credit risk is their carrying amounts as of the balance sheet dates. As of December 31, 2024 and 2025, substantially all of the Group’s cash and cash equivalents, restricted cash, short-term deposits, restricted short-term deposits, short-term investments, long-term deposits and restricted long-term deposits were placed with certain reputable financial institutions in the PRC and overseas.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would be chosen with similar criteria for soundness. Bank failure is uncommon in the PRC and the Group believes that those Chinese banks that hold the Group’s cash and cash equivalents, restricted cash, short-term deposits, restricted short-term deposits, short-term investments, long-term deposits and restricted long-term deposits are financially sound based on publicly available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The revenues and expenses of the Group’s entities in the PRC are generally denominated in RMB and their assets and liabilities are denominated in RMB. The Group’s overseas financing activities are denominated in U.S. dollars. The RMB is not freely convertible into foreign currencies. Remittances of foreign currencies into the PRC or remittances of RMB out of the PRC as well as exchange between RMB and foreign currencies require approval by foreign exchange administrative authorities. The State Administration for Foreign Exchange, under the authority of the People’s Bank of China, controls the conversion of RMB into other currencies.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5. Business Combination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On August 27, 2023, the Company entered into a share purchase agreement (“SPA”) with DiDi Global Inc. (“DiDi”) and Da Vinci Auto Co. Limited (“Target HoldCo”, a direct and wholly owned subsidiary of DiDi), pursuant to which the Company agreed to acquire and DiDi agreed to cause the Target HoldCo to sell the entire issued share capital of Xiaoju Smart Auto Co. Limited and its wholly-owned subsidiaries (“Xiaoju Group”), which were engaged in certain smart auto business that develops, designs and engineers A class automobile vehicles (“DiDi’s smart auto business”). </w:t>
      </w:r>
    </w:p>
    <w:p>
      <w:pPr>
        <w:pStyle w:val="TextBody"/>
        <w:bidi w:val="0"/>
        <w:spacing w:before="120" w:after="0"/>
        <w:jc w:val="left"/>
        <w:rPr>
          <w:rFonts w:ascii="Times New Roman" w:hAnsi="Times New Roman"/>
          <w:sz w:val="20"/>
        </w:rPr>
      </w:pPr>
      <w:r>
        <w:rPr>
          <w:rFonts w:ascii="Times New Roman" w:hAnsi="Times New Roman"/>
          <w:sz w:val="20"/>
        </w:rPr>
        <w:t xml:space="preserve">The Group believe that the acquisition of DiDi’s smart auto business will increase the Group’s brand exposure and customer reach through DiDi’s platform, which will in turn result in commercial growth and opportunities in new international markets. </w:t>
      </w:r>
    </w:p>
    <w:p>
      <w:pPr>
        <w:pStyle w:val="TextBody"/>
        <w:bidi w:val="0"/>
        <w:spacing w:before="120" w:after="0"/>
        <w:jc w:val="left"/>
        <w:rPr>
          <w:rFonts w:ascii="Times New Roman" w:hAnsi="Times New Roman"/>
          <w:sz w:val="20"/>
        </w:rPr>
      </w:pPr>
      <w:r>
        <w:rPr>
          <w:rFonts w:ascii="Times New Roman" w:hAnsi="Times New Roman"/>
          <w:sz w:val="20"/>
        </w:rPr>
        <w:t xml:space="preserve">On November 13, 2023, the closing of the acquisition has been completed and the Company acquired an 100% equity interest in Xiaoju Group with a total purchase consideration of RMB3,782,206, after which Xiaoju Group became wholly-owned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components of the purchase consideration transferred based on the closing price of the Company’s common share of US$7.83 per share as of the acquisition date: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6170"/>
        <w:gridCol w:w="120"/>
        <w:gridCol w:w="126"/>
        <w:gridCol w:w="2069"/>
        <w:gridCol w:w="75"/>
      </w:tblGrid>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0"/>
              <w:jc w:val="center"/>
              <w:rPr>
                <w:b/>
              </w:rPr>
            </w:pPr>
            <w:r>
              <w:rPr>
                <w:b/>
              </w:rPr>
              <w:t>As of acquisition date</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ordinary shares issued on the acquisition date </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3,087,849</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of contingent consideration related to SOP Milestone </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260,546</w:t>
            </w:r>
          </w:p>
        </w:tc>
        <w:tc>
          <w:tcPr>
            <w:tcW w:w="75"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contingent consideration related to Earn-Out Period Milestone</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433,811</w:t>
            </w:r>
          </w:p>
        </w:tc>
        <w:tc>
          <w:tcPr>
            <w:tcW w:w="75" w:type="dxa"/>
            <w:tcBorders/>
            <w:shd w:fill="CCEEFF" w:val="cle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bdr w:val="single" w:sz="2" w:space="1" w:color="000000"/>
              </w:rPr>
            </w:pPr>
            <w:r>
              <w:rPr>
                <w:bdr w:val="single" w:sz="2" w:space="1" w:color="000000"/>
              </w:rPr>
              <w:t> </w:t>
            </w:r>
          </w:p>
        </w:tc>
        <w:tc>
          <w:tcPr>
            <w:tcW w:w="206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Consideration</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pPr>
            <w:r>
              <w:rPr/>
              <w:t> </w:t>
            </w:r>
          </w:p>
        </w:tc>
        <w:tc>
          <w:tcPr>
            <w:tcW w:w="2069" w:type="dxa"/>
            <w:tcBorders/>
            <w:vAlign w:val="center"/>
          </w:tcPr>
          <w:p>
            <w:pPr>
              <w:pStyle w:val="TableContents"/>
              <w:bidi w:val="0"/>
              <w:spacing w:before="0" w:after="0"/>
              <w:jc w:val="right"/>
              <w:rPr>
                <w:b/>
              </w:rPr>
            </w:pPr>
            <w:r>
              <w:rPr>
                <w:b/>
              </w:rPr>
              <w:t>3,782,206</w:t>
            </w:r>
          </w:p>
        </w:tc>
        <w:tc>
          <w:tcPr>
            <w:tcW w:w="75" w:type="dxa"/>
            <w:tcBorders/>
            <w:vAlign w:val="center"/>
          </w:tcPr>
          <w:p>
            <w:pPr>
              <w:pStyle w:val="TableContents"/>
              <w:bidi w:val="0"/>
              <w:spacing w:before="0" w:after="0"/>
              <w:jc w:val="left"/>
              <w:rPr/>
            </w:pPr>
            <w:r>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bdr w:val="double" w:sz="6" w:space="1" w:color="000000"/>
              </w:rPr>
            </w:pPr>
            <w:r>
              <w:rPr>
                <w:bdr w:val="double" w:sz="6" w:space="1" w:color="000000"/>
              </w:rPr>
              <w:t> </w:t>
            </w:r>
          </w:p>
        </w:tc>
        <w:tc>
          <w:tcPr>
            <w:tcW w:w="206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58,164,217 Class A ordinary shares to DiDi on the acquisition date. A portion of the fair value for the shares issued, in the amount of, RMB180,696 was attributed to a prepayment for subsequent technical support and advertising services to be provided by DiDi to the Group. Accordingly, this amount was not included in the total consideration of the acquisition.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SOP Milestone refers to the start of production (“SOP”) of the new vehicle model (“Qualified New Model”) specified in the SPA for sales and delivery to ordinary customers. The acquisition of DiDi’s smart auto business includes a contingent consideration arrangement that requires an additional 4,636,447 Class A ordinary shares to be issued to DiDi if the SOP Milestone is met, which was classified as equity. In estimating the acquisition date fair value of the contingent consideration related to the SOP Milestone, the Company anticipated that the SOP Milestone would be met and the Company will issue these additional 4,636,447 Class A ordinary shares to DiDi upon the date of the SOP. Upon the SOP Milestone being met in July 2024, an additional 4,636,447 Class A ordinary shares was issued and deliveried to DiDi on August 13,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(iii)</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DiDi’s smart auto business also includes a contingent consideration arrangement that requires additional Class A ordinary shares to be issued to DiDi based on (i) the aggregate delivery volume of the Qualified New Model within the </w:t>
            </w:r>
          </w:p>
          <w:p>
            <w:pPr>
              <w:pStyle w:val="TableContents"/>
              <w:bidi w:val="0"/>
              <w:spacing w:before="0" w:after="0"/>
              <w:jc w:val="left"/>
              <w:rPr>
                <w:rFonts w:ascii="Times New Roman" w:hAnsi="Times New Roman"/>
                <w:sz w:val="20"/>
              </w:rPr>
            </w:pPr>
            <w:r>
              <w:rPr>
                <w:rFonts w:ascii="Times New Roman" w:hAnsi="Times New Roman"/>
                <w:sz w:val="20"/>
              </w:rPr>
              <w:t>13-month</w:t>
            </w:r>
          </w:p>
          <w:p>
            <w:pPr>
              <w:pStyle w:val="TableContents"/>
              <w:bidi w:val="0"/>
              <w:spacing w:before="0" w:after="0"/>
              <w:jc w:val="left"/>
              <w:rPr>
                <w:rFonts w:ascii="Times New Roman" w:hAnsi="Times New Roman"/>
                <w:sz w:val="20"/>
              </w:rPr>
            </w:pPr>
            <w:r>
              <w:rPr>
                <w:rFonts w:ascii="Times New Roman" w:hAnsi="Times New Roman"/>
                <w:sz w:val="20"/>
              </w:rPr>
              <w:t xml:space="preserve">period immediately following the start of delivery (“First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reaching 100,000 at any time during the period, or (ii) the aggregate delivery volume of the Qualified New Model within the </w:t>
            </w:r>
          </w:p>
          <w:p>
            <w:pPr>
              <w:pStyle w:val="TableContents"/>
              <w:bidi w:val="0"/>
              <w:spacing w:before="0" w:after="0"/>
              <w:jc w:val="left"/>
              <w:rPr>
                <w:rFonts w:ascii="Times New Roman" w:hAnsi="Times New Roman"/>
                <w:sz w:val="20"/>
              </w:rPr>
            </w:pPr>
            <w:r>
              <w:rPr>
                <w:rFonts w:ascii="Times New Roman" w:hAnsi="Times New Roman"/>
                <w:sz w:val="20"/>
              </w:rPr>
              <w:t>12-month</w:t>
            </w:r>
          </w:p>
          <w:p>
            <w:pPr>
              <w:pStyle w:val="TableContents"/>
              <w:bidi w:val="0"/>
              <w:spacing w:before="0" w:after="0"/>
              <w:jc w:val="left"/>
              <w:rPr>
                <w:rFonts w:ascii="Times New Roman" w:hAnsi="Times New Roman"/>
                <w:sz w:val="20"/>
              </w:rPr>
            </w:pPr>
            <w:r>
              <w:rPr>
                <w:rFonts w:ascii="Times New Roman" w:hAnsi="Times New Roman"/>
                <w:sz w:val="20"/>
              </w:rPr>
              <w:t xml:space="preserve">period immediately following the expiry of the First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reaching 100,000 at any time during the period, both of which is defined as </w:t>
            </w:r>
          </w:p>
          <w:p>
            <w:pPr>
              <w:pStyle w:val="TableContents"/>
              <w:bidi w:val="0"/>
              <w:spacing w:before="0" w:after="0"/>
              <w:jc w:val="left"/>
              <w:rPr/>
            </w:pPr>
            <w:r>
              <w:rPr/>
              <w:t>“</w:t>
            </w: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The range of shares to be issued related to the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is between nil and 28,331,126, leading to the range of fair value of the contingent consideration between nil and RMB1,592,071 on the acquisition date. In estimating the acquisition date fair value of the contingent consideration related to the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which is classified as a derivative liability, the Group performed a scenario analysis and determined the fair value based on the total contingent shares to be issued under each scenario, the expected probabilities of each scenario and the closing price of the Company’s common share on the acquisition date. As of December 31, 2024, the fair value of the contingent consideration related to the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was RMB167,940, with a fair value gain of RMB234,245 and foreign currency translation adjustment of RMB8,712 recorded in the consolidated statements of comprehensive loss, primarily due to the derecognition of the derivative liability related to the First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and the range of fair value of the contingent consideration was between nil and RMB619,156. As of December 31, 2025, the fair value of the contingent consideration related to the </w:t>
            </w:r>
          </w:p>
          <w:p>
            <w:pPr>
              <w:pStyle w:val="TableContents"/>
              <w:bidi w:val="0"/>
              <w:spacing w:before="0" w:after="0"/>
              <w:jc w:val="left"/>
              <w:rPr>
                <w:rFonts w:ascii="Times New Roman" w:hAnsi="Times New Roman"/>
                <w:sz w:val="20"/>
              </w:rPr>
            </w:pPr>
            <w:r>
              <w:rPr>
                <w:rFonts w:ascii="Times New Roman" w:hAnsi="Times New Roman"/>
                <w:sz w:val="20"/>
              </w:rPr>
              <w:t>Earn-Out</w:t>
            </w:r>
          </w:p>
          <w:p>
            <w:pPr>
              <w:pStyle w:val="TableContents"/>
              <w:bidi w:val="0"/>
              <w:spacing w:before="0" w:after="0"/>
              <w:jc w:val="left"/>
              <w:rPr>
                <w:rFonts w:ascii="Times New Roman" w:hAnsi="Times New Roman"/>
                <w:sz w:val="20"/>
              </w:rPr>
            </w:pPr>
            <w:r>
              <w:rPr>
                <w:rFonts w:ascii="Times New Roman" w:hAnsi="Times New Roman"/>
                <w:sz w:val="20"/>
              </w:rPr>
              <w:t xml:space="preserve">Period Milestone was RMB281,009, with a fair value loss of RMB117,305, and foreign currency translation adjustment of RMB4,236 recorded in the consolidated statements of comprehensive loss, and the range of fair value of the contingent consideration was between nil and RMB1,036,018.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5. Business Combination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acquisition was accounted for as a business combination. The Group made estimates and judgements in determining the fair values of the assets acquired and liabilities assumed with the assistance from an independent valuation firm. The consideration was allocated on the acquisition date as follows: </w:t>
      </w:r>
    </w:p>
    <w:p>
      <w:pPr>
        <w:pStyle w:val="TextBody"/>
        <w:bidi w:val="0"/>
        <w:spacing w:before="0" w:after="0"/>
        <w:jc w:val="left"/>
        <w:rPr/>
      </w:pPr>
      <w:r>
        <w:rPr/>
        <w:t> </w:t>
      </w:r>
    </w:p>
    <w:tbl>
      <w:tblPr>
        <w:tblW w:w="5490" w:type="dxa"/>
        <w:jc w:val="left"/>
        <w:tblInd w:w="0" w:type="dxa"/>
        <w:tblLayout w:type="fixed"/>
        <w:tblCellMar>
          <w:top w:w="0" w:type="dxa"/>
          <w:left w:w="0" w:type="dxa"/>
          <w:bottom w:w="0" w:type="dxa"/>
          <w:right w:w="0" w:type="dxa"/>
        </w:tblCellMar>
      </w:tblPr>
      <w:tblGrid>
        <w:gridCol w:w="3005"/>
        <w:gridCol w:w="120"/>
        <w:gridCol w:w="126"/>
        <w:gridCol w:w="2069"/>
        <w:gridCol w:w="170"/>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acquisition date</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06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VPT (Note 10)</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2,586,911</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VMTUD (Note 10)</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609,170</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Software</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9,570</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684,214</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254,402</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113,818</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453,125</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127,256</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and notes payable</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(30,473</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(255,483</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(804,410</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pPr>
            <w:r>
              <w:rPr/>
              <w:t>34,106</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bdr w:val="single" w:sz="2" w:space="1" w:color="000000"/>
              </w:rPr>
            </w:pPr>
            <w:r>
              <w:rPr>
                <w:bdr w:val="single" w:sz="2" w:space="1" w:color="000000"/>
              </w:rPr>
              <w:t> </w:t>
            </w:r>
          </w:p>
        </w:tc>
        <w:tc>
          <w:tcPr>
            <w:tcW w:w="206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spacing w:val="0"/>
              </w:rPr>
            </w:pPr>
            <w:r>
              <w:rPr>
                <w:spacing w:val="0"/>
              </w:rPr>
              <w:t> </w:t>
            </w:r>
          </w:p>
        </w:tc>
        <w:tc>
          <w:tcPr>
            <w:tcW w:w="2069" w:type="dxa"/>
            <w:tcBorders/>
            <w:vAlign w:val="center"/>
          </w:tcPr>
          <w:p>
            <w:pPr>
              <w:pStyle w:val="TableContents"/>
              <w:bidi w:val="0"/>
              <w:spacing w:before="0" w:after="0"/>
              <w:jc w:val="right"/>
              <w:rPr>
                <w:b/>
                <w:spacing w:val="0"/>
              </w:rPr>
            </w:pPr>
            <w:r>
              <w:rPr>
                <w:b/>
                <w:spacing w:val="0"/>
              </w:rPr>
              <w:t>3,782,206</w:t>
            </w:r>
          </w:p>
        </w:tc>
        <w:tc>
          <w:tcPr>
            <w:tcW w:w="170" w:type="dxa"/>
            <w:tcBorders/>
            <w:vAlign w:val="center"/>
          </w:tcPr>
          <w:p>
            <w:pPr>
              <w:pStyle w:val="TableContents"/>
              <w:bidi w:val="0"/>
              <w:spacing w:before="0" w:after="0"/>
              <w:jc w:val="left"/>
              <w:rPr>
                <w:spacing w:val="0"/>
              </w:rPr>
            </w:pPr>
            <w:r>
              <w:rPr>
                <w:spacing w:val="0"/>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jc w:val="left"/>
              <w:rPr>
                <w:bdr w:val="double" w:sz="6" w:space="1" w:color="000000"/>
              </w:rPr>
            </w:pPr>
            <w:r>
              <w:rPr>
                <w:bdr w:val="double" w:sz="6" w:space="1" w:color="000000"/>
              </w:rPr>
              <w:t> </w:t>
            </w:r>
          </w:p>
        </w:tc>
        <w:tc>
          <w:tcPr>
            <w:tcW w:w="206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estimated the fair value of acquired VPT using the relief from royalty method. The value is estimated as the present value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cost savings at an appropriate discount rate. In terms of the fair value of the acquired VMTUD, which was initially recognized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asset, the multiperiod excess earnings method was used. The value is estimated as the present value of the revenues calculated at an appropriate discount rate. The Group’s determination of the fair values of acquired VPT and VMTUD involved the use of estimates and assumptions related to revenues, gross margin, revenue growth rate, royalty rate,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 goodwill was mainly attributable to intangible assets that cannot be recognized separately as identifiable assets under U.S. GAAP, including synergies which result from the assembled work force and the benefits of the strategic partnership with DiDi. None of the goodwill recognized is expected to be deductible for income tax purposes.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information of the acquisition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information summarizes the results of operations for the years ended December 31, 2022 and 2023 of the Group as if the acquisition had occurred on January 1, 2022. The unaudited pro forma information includes: (i) amortization associated with estimates for the acquired intangible assets and corresponding deferred tax asset and liability; (ii) removal of the transaction costs related to the acquisition and (iii) the associated tax impact on these unaudited pro forma adjustments. The following pro forma financial information is presented for informational purpose only and is not necessarily indicative of the results that would have occurred had the acquisition been completed on January 1, 2022, nor is it indicative of future operating results. </w:t>
      </w:r>
    </w:p>
    <w:p>
      <w:pPr>
        <w:pStyle w:val="TextBody"/>
        <w:bidi w:val="0"/>
        <w:spacing w:before="0" w:after="0"/>
        <w:jc w:val="left"/>
        <w:rPr/>
      </w:pPr>
      <w:r>
        <w:rPr/>
        <w:t> </w:t>
      </w:r>
    </w:p>
    <w:tbl>
      <w:tblPr>
        <w:tblW w:w="5577" w:type="dxa"/>
        <w:jc w:val="left"/>
        <w:tblInd w:w="0" w:type="dxa"/>
        <w:tblLayout w:type="fixed"/>
        <w:tblCellMar>
          <w:top w:w="0" w:type="dxa"/>
          <w:left w:w="0" w:type="dxa"/>
          <w:bottom w:w="0" w:type="dxa"/>
          <w:right w:w="0" w:type="dxa"/>
        </w:tblCellMar>
      </w:tblPr>
      <w:tblGrid>
        <w:gridCol w:w="1880"/>
        <w:gridCol w:w="120"/>
        <w:gridCol w:w="74"/>
        <w:gridCol w:w="1458"/>
        <w:gridCol w:w="192"/>
        <w:gridCol w:w="148"/>
        <w:gridCol w:w="74"/>
        <w:gridCol w:w="1461"/>
        <w:gridCol w:w="170"/>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net revenues</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26,855,119</w:t>
            </w:r>
          </w:p>
        </w:tc>
        <w:tc>
          <w:tcPr>
            <w:tcW w:w="19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30,856,674</w:t>
            </w:r>
          </w:p>
        </w:tc>
        <w:tc>
          <w:tcPr>
            <w:tcW w:w="170" w:type="dxa"/>
            <w:tcBorders/>
            <w:shd w:fill="CCEEFF" w:val="cle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(12,035,550</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(14,066,681</w:t>
            </w:r>
          </w:p>
        </w:tc>
        <w:tc>
          <w:tcPr>
            <w:tcW w:w="17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458" w:type="dxa"/>
            <w:tcBorders/>
            <w:vAlign w:val="center"/>
          </w:tcPr>
          <w:p>
            <w:pPr>
              <w:pStyle w:val="TableContents"/>
              <w:bidi w:val="0"/>
              <w:spacing w:before="0" w:after="0"/>
              <w:jc w:val="left"/>
              <w:rPr>
                <w:bdr w:val="single" w:sz="2" w:space="1" w:color="000000"/>
              </w:rPr>
            </w:pPr>
            <w:r>
              <w:rPr>
                <w:bdr w:val="single" w:sz="2" w:space="1" w:color="000000"/>
              </w:rPr>
              <w:t> </w:t>
            </w:r>
          </w:p>
        </w:tc>
        <w:tc>
          <w:tcPr>
            <w:tcW w:w="192"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1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the acquisition date, Xiaoju Group contributed nil to the Group’s consolidated revenue and RMB47,655 to the Group’s consolidated net loss for the year ended December 31,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Fair Value of Financial Instruments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ASC 820, Fair Value Measurements,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measurements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and liabilities that were measured at fair value on a recurring basis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7"/>
        <w:gridCol w:w="120"/>
        <w:gridCol w:w="60"/>
        <w:gridCol w:w="981"/>
        <w:gridCol w:w="60"/>
        <w:gridCol w:w="120"/>
        <w:gridCol w:w="60"/>
        <w:gridCol w:w="680"/>
        <w:gridCol w:w="60"/>
        <w:gridCol w:w="120"/>
        <w:gridCol w:w="60"/>
        <w:gridCol w:w="800"/>
        <w:gridCol w:w="60"/>
        <w:gridCol w:w="120"/>
        <w:gridCol w:w="60"/>
        <w:gridCol w:w="980"/>
        <w:gridCol w:w="60"/>
        <w:gridCol w:w="120"/>
        <w:gridCol w:w="60"/>
        <w:gridCol w:w="981"/>
        <w:gridCol w:w="60"/>
        <w:gridCol w:w="120"/>
        <w:gridCol w:w="60"/>
        <w:gridCol w:w="680"/>
        <w:gridCol w:w="60"/>
        <w:gridCol w:w="120"/>
        <w:gridCol w:w="60"/>
        <w:gridCol w:w="980"/>
        <w:gridCol w:w="60"/>
        <w:gridCol w:w="120"/>
        <w:gridCol w:w="60"/>
        <w:gridCol w:w="980"/>
        <w:gridCol w:w="76"/>
      </w:tblGrid>
      <w:tr>
        <w:trPr/>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1"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1"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6" w:type="dxa"/>
            <w:tcBorders/>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III</w:t>
            </w:r>
          </w:p>
        </w:tc>
        <w:tc>
          <w:tcPr>
            <w:tcW w:w="76" w:type="dxa"/>
            <w:tcBorders/>
            <w:vAlign w:val="center"/>
          </w:tcPr>
          <w:p>
            <w:pPr>
              <w:pStyle w:val="TableContents"/>
              <w:bidi w:val="0"/>
              <w:spacing w:before="0" w:after="283"/>
              <w:jc w:val="left"/>
              <w:rPr/>
            </w:pPr>
            <w:r>
              <w:rPr/>
              <w:t> </w:t>
            </w:r>
          </w:p>
        </w:tc>
      </w:tr>
      <w:tr>
        <w:trPr/>
        <w:tc>
          <w:tcPr>
            <w:tcW w:w="120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2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p>
            <w:pPr>
              <w:pStyle w:val="TableContents"/>
              <w:bidi w:val="0"/>
              <w:spacing w:before="0" w:after="0"/>
              <w:jc w:val="left"/>
              <w:rPr>
                <w:rFonts w:ascii="Times New Roman" w:hAnsi="Times New Roman"/>
                <w:sz w:val="12"/>
              </w:rPr>
            </w:pPr>
            <w:r>
              <w:rPr>
                <w:rFonts w:ascii="Times New Roman" w:hAnsi="Times New Roman"/>
                <w:sz w:val="12"/>
              </w:rPr>
              <w:t>(i)</w:t>
            </w:r>
          </w:p>
          <w:p>
            <w:pPr>
              <w:pStyle w:val="TableContents"/>
              <w:bidi w:val="0"/>
              <w:spacing w:before="0" w:after="20"/>
              <w:jc w:val="left"/>
              <w:rPr>
                <w:rFonts w:ascii="Times New Roman" w:hAnsi="Times New Roman"/>
                <w:sz w:val="20"/>
              </w:rPr>
            </w:pPr>
            <w:r>
              <w:rPr>
                <w:rFonts w:ascii="Times New Roman" w:hAnsi="Times New Roman"/>
                <w:sz w:val="20"/>
              </w:rPr>
              <w:t>(Note 2(k))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751,290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751,290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3,217,293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3,217,293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investments</w:t>
            </w:r>
          </w:p>
          <w:p>
            <w:pPr>
              <w:pStyle w:val="TableContents"/>
              <w:bidi w:val="0"/>
              <w:spacing w:before="0" w:after="0"/>
              <w:jc w:val="left"/>
              <w:rPr>
                <w:rFonts w:ascii="Times New Roman" w:hAnsi="Times New Roman"/>
                <w:sz w:val="12"/>
              </w:rPr>
            </w:pPr>
            <w:r>
              <w:rPr>
                <w:rFonts w:ascii="Times New Roman" w:hAnsi="Times New Roman"/>
                <w:sz w:val="12"/>
              </w:rPr>
              <w:t>(ii)</w:t>
            </w:r>
          </w:p>
          <w:p>
            <w:pPr>
              <w:pStyle w:val="TableContents"/>
              <w:bidi w:val="0"/>
              <w:spacing w:before="0" w:after="20"/>
              <w:jc w:val="left"/>
              <w:rPr>
                <w:rFonts w:ascii="Times New Roman" w:hAnsi="Times New Roman"/>
                <w:sz w:val="20"/>
              </w:rPr>
            </w:pPr>
            <w:r>
              <w:rPr>
                <w:rFonts w:ascii="Times New Roman" w:hAnsi="Times New Roman"/>
                <w:sz w:val="20"/>
              </w:rPr>
              <w:t>(Note 13)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1,034,204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1,034,204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1,371,630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1,318,957</w:t>
            </w:r>
          </w:p>
        </w:tc>
        <w:tc>
          <w:tcPr>
            <w:tcW w:w="76" w:type="dxa"/>
            <w:tcBorders/>
            <w:shd w:fill="CCEEFF" w:val="clear"/>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investments with readily determinable fair</w:t>
              <w:br/>
              <w:t>values</w:t>
            </w:r>
          </w:p>
          <w:p>
            <w:pPr>
              <w:pStyle w:val="TableContents"/>
              <w:bidi w:val="0"/>
              <w:spacing w:before="0" w:after="0"/>
              <w:jc w:val="left"/>
              <w:rPr>
                <w:rFonts w:ascii="Times New Roman" w:hAnsi="Times New Roman"/>
                <w:sz w:val="12"/>
              </w:rPr>
            </w:pPr>
            <w:r>
              <w:rPr>
                <w:rFonts w:ascii="Times New Roman" w:hAnsi="Times New Roman"/>
                <w:sz w:val="12"/>
              </w:rPr>
              <w:t>(iii)</w:t>
            </w:r>
          </w:p>
          <w:p>
            <w:pPr>
              <w:pStyle w:val="TableContents"/>
              <w:bidi w:val="0"/>
              <w:spacing w:before="0" w:after="0"/>
              <w:jc w:val="left"/>
              <w:rPr>
                <w:rFonts w:ascii="Times New Roman" w:hAnsi="Times New Roman"/>
                <w:sz w:val="20"/>
              </w:rPr>
            </w:pPr>
            <w:r>
              <w:rPr>
                <w:rFonts w:ascii="Times New Roman" w:hAnsi="Times New Roman"/>
                <w:sz w:val="20"/>
              </w:rPr>
              <w:t>(Note 13)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78,351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69,015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69,015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120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1,863,845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78,351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751,290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1,034,204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4,657,938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3,269,966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1,318,957</w:t>
            </w:r>
          </w:p>
        </w:tc>
        <w:tc>
          <w:tcPr>
            <w:tcW w:w="76" w:type="dxa"/>
            <w:tcBorders/>
            <w:shd w:fill="CCEEFF" w:val="clear"/>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liability relating to the contingent consideration</w:t>
            </w:r>
          </w:p>
          <w:p>
            <w:pPr>
              <w:pStyle w:val="TableContents"/>
              <w:bidi w:val="0"/>
              <w:spacing w:before="0" w:after="0"/>
              <w:jc w:val="left"/>
              <w:rPr>
                <w:rFonts w:ascii="Times New Roman" w:hAnsi="Times New Roman"/>
                <w:sz w:val="12"/>
              </w:rPr>
            </w:pPr>
            <w:r>
              <w:rPr>
                <w:rFonts w:ascii="Times New Roman" w:hAnsi="Times New Roman"/>
                <w:sz w:val="12"/>
              </w:rPr>
              <w:t xml:space="preserve">(iv) </w:t>
            </w:r>
          </w:p>
          <w:p>
            <w:pPr>
              <w:pStyle w:val="TableContents"/>
              <w:bidi w:val="0"/>
              <w:spacing w:before="0" w:after="0"/>
              <w:jc w:val="left"/>
              <w:rPr>
                <w:rFonts w:ascii="Times New Roman" w:hAnsi="Times New Roman"/>
                <w:sz w:val="20"/>
              </w:rPr>
            </w:pPr>
            <w:r>
              <w:rPr>
                <w:rFonts w:ascii="Times New Roman" w:hAnsi="Times New Roman"/>
                <w:sz w:val="20"/>
              </w:rPr>
              <w:t>(Note 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167,940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281,009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281,009</w:t>
            </w:r>
          </w:p>
        </w:tc>
        <w:tc>
          <w:tcPr>
            <w:tcW w:w="76" w:type="dxa"/>
            <w:tcBorders/>
            <w:shd w:fill="CCEEFF" w:val="clear"/>
            <w:vAlign w:val="center"/>
          </w:tcPr>
          <w:p>
            <w:pPr>
              <w:pStyle w:val="TableContents"/>
              <w:bidi w:val="0"/>
              <w:spacing w:before="0" w:after="283"/>
              <w:jc w:val="left"/>
              <w:rPr/>
            </w:pPr>
            <w:r>
              <w:rPr/>
              <w:t> </w:t>
            </w:r>
          </w:p>
        </w:tc>
      </w:tr>
      <w:tr>
        <w:trPr/>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6. Fair Value of Financial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Instruments </w:t>
      </w:r>
    </w:p>
    <w:p>
      <w:pPr>
        <w:pStyle w:val="TextBody"/>
        <w:bidi w:val="0"/>
        <w:spacing w:before="0" w:after="0"/>
        <w:jc w:val="left"/>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Fair value measurements on a recurring basis(continued)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 Short-term investments are investments in financial instruments with variable interest rates and maturity dates within one year. Fair value of short-term investments is estimated based on the quoted prices of similar financial products provided by banks at the end of each period (Level II).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(ii) Debt investments under the fair value option model do not have readily determinable market values and are categorized as Level III in the fair value hierarchy. The Group uses a combination of valuation methodologies, including the equity allocation model, market and income approaches based on the Group’s best estimate, which are determined by using information including but not limited to the pricing of recent rounds of financing of the investees, future cash flow forecasts, liquidity factors and multiples of comparable companies. Fair value of debt securities is estimated based on the directly or indirectly observable inputs in the market place at the end of each period (Level II). Regarding the reconciliation of the opening balances to the closing balances, with the changes during the period disclosed separately, please refer to Note 13 for details.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(iii) Equity investments with readily determinable fair values are valued using the quoted prices in active markets at the reporting date, which are classified within Level I of the fair value hierarchy.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(iv) Derivative liability relating to the contingent consideration is valued based on (i) the quoted prices in active markets at the reporting date and (ii) an estimation on potential issuance of the Company’s ordinary shares relating to the contingent consideration from business combination. The Group classifies the valuation techniques that use these inputs as Level III of fair value measurements. Regarding the reconciliation of the opening balances to the closing balances, with the changes during the period disclosed separately, please refer to Note 5 for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measurements on 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non-recurring</w:t>
      </w:r>
    </w:p>
    <w:p>
      <w:pPr>
        <w:pStyle w:val="TextBody"/>
        <w:bidi w:val="0"/>
        <w:spacing w:before="360" w:after="0"/>
        <w:jc w:val="left"/>
        <w:rPr>
          <w:rFonts w:ascii="Times New Roman" w:hAnsi="Times New Roman"/>
          <w:b/>
          <w:sz w:val="20"/>
        </w:rPr>
      </w:pPr>
      <w:r>
        <w:rPr>
          <w:rFonts w:ascii="Times New Roman" w:hAnsi="Times New Roman"/>
          <w:b/>
          <w:sz w:val="20"/>
        </w:rPr>
        <w:t xml:space="preserve">basis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investments without readily determinable fair value (Note 13(i))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120" w:after="0"/>
        <w:jc w:val="left"/>
        <w:rPr>
          <w:rFonts w:ascii="Times New Roman" w:hAnsi="Times New Roman"/>
          <w:sz w:val="20"/>
        </w:rPr>
      </w:pPr>
      <w:r>
        <w:rPr>
          <w:rFonts w:ascii="Times New Roman" w:hAnsi="Times New Roman"/>
          <w:sz w:val="20"/>
        </w:rPr>
        <w:t xml:space="preserve">basis when fair value changes can be determined based upon observable and relevant market information. Related adjustments (impairment related) are recorded as appropriate based upon such observable information. An observable price change is usually resulting from new rounds of financing of the investees. The Group determines whether the securities offered in new rounds of financing are similar to the equity securities held by the Group by comparing the rights and obligations of the securities. When the securities offered in new rounds of financing are determined to be similar to the securities held by the Group, it adjusts the observable price of the similar security to determine the amount that should be recorded as an adjustment in the carrying value of the security to reflect the current fair value of the security held by the Group by using the backsolve method based on the equity allocation model with adoption of some key parameters such as risk-free rate, equity volatility, probability of each scenario and dividend yield, which are significant unobservable inputs (Level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7. Inventory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Inventory consisted of the following: </w:t>
      </w:r>
    </w:p>
    <w:p>
      <w:pPr>
        <w:pStyle w:val="TextBody"/>
        <w:bidi w:val="0"/>
        <w:spacing w:before="0" w:after="0"/>
        <w:jc w:val="left"/>
        <w:rPr/>
      </w:pPr>
      <w:r>
        <w:rPr/>
        <w:t> </w:t>
      </w:r>
    </w:p>
    <w:tbl>
      <w:tblPr>
        <w:tblW w:w="3945" w:type="dxa"/>
        <w:jc w:val="left"/>
        <w:tblInd w:w="0" w:type="dxa"/>
        <w:tblLayout w:type="fixed"/>
        <w:tblCellMar>
          <w:top w:w="0" w:type="dxa"/>
          <w:left w:w="0" w:type="dxa"/>
          <w:bottom w:w="0" w:type="dxa"/>
          <w:right w:w="0" w:type="dxa"/>
        </w:tblCellMar>
      </w:tblPr>
      <w:tblGrid>
        <w:gridCol w:w="1370"/>
        <w:gridCol w:w="120"/>
        <w:gridCol w:w="60"/>
        <w:gridCol w:w="980"/>
        <w:gridCol w:w="60"/>
        <w:gridCol w:w="120"/>
        <w:gridCol w:w="60"/>
        <w:gridCol w:w="110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3,898,396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6,081,927</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1,634,792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2,736,646</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1,562,095</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5,562,922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10,380,668</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Finished goods primarily consist of vehicles ready for transit at production factory, vehicles in transit to fulfill customer orders, new vehicles available for immediate sale at its delivery and service centers and charging piles. </w:t>
      </w:r>
    </w:p>
    <w:p>
      <w:pPr>
        <w:pStyle w:val="TextBody"/>
        <w:bidi w:val="0"/>
        <w:spacing w:before="120" w:after="0"/>
        <w:jc w:val="left"/>
        <w:rPr>
          <w:rFonts w:ascii="Times New Roman" w:hAnsi="Times New Roman"/>
          <w:sz w:val="20"/>
        </w:rPr>
      </w:pPr>
      <w:r>
        <w:rPr>
          <w:rFonts w:ascii="Times New Roman" w:hAnsi="Times New Roman"/>
          <w:sz w:val="20"/>
        </w:rPr>
        <w:t xml:space="preserve">Raw materials primarily consist of materials for volume production as well as spare parts used for aftersales services.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Work-in-process</w:t>
      </w:r>
    </w:p>
    <w:p>
      <w:pPr>
        <w:pStyle w:val="TextBody"/>
        <w:bidi w:val="0"/>
        <w:spacing w:before="120" w:after="0"/>
        <w:jc w:val="left"/>
        <w:rPr>
          <w:rFonts w:ascii="Times New Roman" w:hAnsi="Times New Roman"/>
          <w:sz w:val="20"/>
        </w:rPr>
      </w:pPr>
      <w:r>
        <w:rPr>
          <w:rFonts w:ascii="Times New Roman" w:hAnsi="Times New Roman"/>
          <w:sz w:val="20"/>
        </w:rPr>
        <w:t xml:space="preserve">primarily consist of vehicles in production which will be transferred into production cost when incurred.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Inventory write-downs recorded in cost of sales for the years ended December 31, 2023, 2024, and 2025 were</w:t>
      </w:r>
    </w:p>
    <w:p>
      <w:pPr>
        <w:pStyle w:val="TextBody"/>
        <w:bidi w:val="0"/>
        <w:spacing w:before="120" w:after="0"/>
        <w:jc w:val="left"/>
        <w:rPr>
          <w:spacing w:val="0"/>
        </w:rPr>
      </w:pPr>
      <w:r>
        <w:rPr>
          <w:spacing w:val="0"/>
        </w:rPr>
        <w: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RMB</w:t>
      </w:r>
    </w:p>
    <w:p>
      <w:pPr>
        <w:pStyle w:val="TextBody"/>
        <w:bidi w:val="0"/>
        <w:spacing w:before="120" w:after="0"/>
        <w:jc w:val="left"/>
        <w:rPr>
          <w:rFonts w:ascii="Times New Roman" w:hAnsi="Times New Roman"/>
          <w:sz w:val="20"/>
        </w:rPr>
      </w:pPr>
      <w:r>
        <w:rPr>
          <w:rFonts w:ascii="Times New Roman" w:hAnsi="Times New Roman"/>
          <w:sz w:val="20"/>
        </w:rPr>
        <w:t>1,054,711</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RMB943,734 and RMB555,368 respectively. This amount comprised write-downs on excess of dedicated raw materials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RMB</w:t>
      </w:r>
    </w:p>
    <w:p>
      <w:pPr>
        <w:pStyle w:val="TextBody"/>
        <w:bidi w:val="0"/>
        <w:spacing w:before="120" w:after="0"/>
        <w:jc w:val="left"/>
        <w:rPr>
          <w:rFonts w:ascii="Times New Roman" w:hAnsi="Times New Roman"/>
          <w:sz w:val="20"/>
        </w:rPr>
      </w:pPr>
      <w:r>
        <w:rPr>
          <w:rFonts w:ascii="Times New Roman" w:hAnsi="Times New Roman"/>
          <w:sz w:val="20"/>
        </w:rPr>
        <w:t>77,310</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RMB</w:t>
      </w:r>
    </w:p>
    <w:p>
      <w:pPr>
        <w:pStyle w:val="TextBody"/>
        <w:bidi w:val="0"/>
        <w:spacing w:before="120" w:after="0"/>
        <w:jc w:val="left"/>
        <w:rPr>
          <w:rFonts w:ascii="Times New Roman" w:hAnsi="Times New Roman"/>
          <w:sz w:val="20"/>
        </w:rPr>
      </w:pPr>
      <w:r>
        <w:rPr>
          <w:rFonts w:ascii="Times New Roman" w:hAnsi="Times New Roman"/>
          <w:sz w:val="20"/>
        </w:rPr>
        <w:t>35,000</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and RMB105,107 for the respective years, resulting from the cessation or upgrade of certain models. </w:t>
      </w: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8.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Prepayments and Other Current Assets, Net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Prepayments and other current assets, net, consisted of the following: </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5090"/>
        <w:gridCol w:w="120"/>
        <w:gridCol w:w="60"/>
        <w:gridCol w:w="980"/>
        <w:gridCol w:w="60"/>
        <w:gridCol w:w="120"/>
        <w:gridCol w:w="60"/>
        <w:gridCol w:w="980"/>
        <w:gridCol w:w="75"/>
      </w:tblGrid>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Deductible input value-added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2,221,048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3,461,066</w:t>
            </w:r>
          </w:p>
        </w:tc>
        <w:tc>
          <w:tcPr>
            <w:tcW w:w="75"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383,826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1,072,751</w:t>
            </w:r>
          </w:p>
        </w:tc>
        <w:tc>
          <w:tcPr>
            <w:tcW w:w="75"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101,590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115,601</w:t>
            </w:r>
          </w:p>
        </w:tc>
        <w:tc>
          <w:tcPr>
            <w:tcW w:w="75"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from third party online payment service providers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50,384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33,308</w:t>
            </w:r>
          </w:p>
        </w:tc>
        <w:tc>
          <w:tcPr>
            <w:tcW w:w="75"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receivables, current portion, net (Note 18)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11,687</w:t>
            </w:r>
          </w:p>
        </w:tc>
        <w:tc>
          <w:tcPr>
            <w:tcW w:w="75"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367,076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602,260</w:t>
            </w:r>
          </w:p>
        </w:tc>
        <w:tc>
          <w:tcPr>
            <w:tcW w:w="75"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3,135,312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5,296,673</w:t>
            </w:r>
          </w:p>
        </w:tc>
        <w:tc>
          <w:tcPr>
            <w:tcW w:w="75" w:type="dxa"/>
            <w:tcBorders/>
            <w:shd w:fill="CCEEFF" w:val="cle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Prepayments primarily consist of prepayments for raw materials, marketing and consulting services provided by suppliers.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(ii) Deposits primarily consist of deposits for short-term leases and the deposits to suppliers for guarantee of procurement.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Property, Plant and Equipment, Net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Property, plant and equipment, net, consisted of the following: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2960"/>
        <w:gridCol w:w="120"/>
        <w:gridCol w:w="60"/>
        <w:gridCol w:w="1100"/>
        <w:gridCol w:w="155"/>
        <w:gridCol w:w="120"/>
        <w:gridCol w:w="60"/>
        <w:gridCol w:w="1100"/>
        <w:gridCol w:w="170"/>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4,826,529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5,914,177</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4,207,967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5,815,486</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Molds and toolings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3,012,412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3,628,300</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process</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1,688,556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1,485,059</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649,574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699,693</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615,905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588,122</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Charging infrastructure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474,995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580,394</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and electronic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425,386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569,451</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259,034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414,411</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Sub-total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16,160,358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19,695,093</w:t>
            </w:r>
          </w:p>
        </w:tc>
        <w:tc>
          <w:tcPr>
            <w:tcW w:w="17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(4,467,049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(6,022,295</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Impairment</w:t>
            </w:r>
          </w:p>
          <w:p>
            <w:pPr>
              <w:pStyle w:val="TableContents"/>
              <w:bidi w:val="0"/>
              <w:spacing w:before="0" w:after="0"/>
              <w:jc w:val="left"/>
              <w:rPr>
                <w:rFonts w:ascii="Times New Roman" w:hAnsi="Times New Roman"/>
                <w:sz w:val="12"/>
              </w:rPr>
            </w:pPr>
            <w:r>
              <w:rPr>
                <w:rFonts w:ascii="Times New Roman" w:hAnsi="Times New Roman"/>
                <w:sz w:val="12"/>
              </w:rPr>
              <w:t>(iv)</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(171,446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(145,561</w:t>
            </w:r>
          </w:p>
        </w:tc>
        <w:tc>
          <w:tcPr>
            <w:tcW w:w="17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11,521,863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13,527,237</w:t>
            </w:r>
          </w:p>
        </w:tc>
        <w:tc>
          <w:tcPr>
            <w:tcW w:w="17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recorded depreciation expenses of RMB1,645,760, RMB1,571,754 and RMB1,804,658 for the years ended December 31, 2023, 2024 and 2025, respectively.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Construction in progress is primarily comprised of ongoing construction of the Group’s production facilities, equipment and tooling utilized in the Group’s manufacture. For the years ended December 31, 2023, 2024 and 2025, the Group capitalized</w:t>
            </w:r>
          </w:p>
          <w:p>
            <w:pPr>
              <w:pStyle w:val="TableContents"/>
              <w:bidi w:val="0"/>
              <w:spacing w:before="0" w:after="0"/>
              <w:jc w:val="left"/>
              <w:rPr/>
            </w:pPr>
            <w:r>
              <w:rPr/>
              <w:t> </w:t>
            </w:r>
            <w:r>
              <w:rPr>
                <w:rFonts w:ascii="Times New Roman" w:hAnsi="Times New Roman"/>
                <w:sz w:val="20"/>
              </w:rPr>
              <w:t xml:space="preserve">RMB107,415, RMB31,878 and RMB15,220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of gross interest expenses, respectively. Government grants related to capitalized interest expense were accounted for as a reduction of capitalized costs associated with the construction of the production facilities. The benefits of these grants are subsequently recognized through a corresponding reduction in depreciation charges over the useful lives of these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Group entered into a lease contract with Guangzhou GET New Energy Technology Co., Ltd. (“Guangzhou GET New Energy”) to lease the plant and underlying land use right of Guangzhou manufacturing plant and further had an obligation to purchase the plant and underlying land use right at the construction cost at the end of lease term. On July 1, 2022, the lease commencement date, the lease asset for the plant was recorded with the amount of RMB1,001,820, being the present value of the lease payment and the exercise price of the purchase obligation(Note 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Property, Plant and Equipment, Net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Property, plant and equipment, net, consisted of the following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For the year ended of December 31, 2024 and 2025, due to cessation or upgrades of certain vehicle models, the Company revised the estimated production volumes of models and tooling and the useful lives of production facilities dedicated to these specific models. Accordingly, accelerated depreciation expenses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of </w:t>
            </w:r>
          </w:p>
          <w:p>
            <w:pPr>
              <w:pStyle w:val="TableContents"/>
              <w:bidi w:val="0"/>
              <w:spacing w:before="0" w:after="0"/>
              <w:jc w:val="left"/>
              <w:rPr>
                <w:rFonts w:ascii="Times New Roman" w:hAnsi="Times New Roman"/>
                <w:sz w:val="20"/>
              </w:rPr>
            </w:pPr>
            <w:r>
              <w:rPr>
                <w:rFonts w:ascii="Times New Roman" w:hAnsi="Times New Roman"/>
                <w:sz w:val="20"/>
              </w:rPr>
              <w:t xml:space="preserve">RMB212,907 and RMB172,798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were recognized for the years ended December 31, 2024 and 2025, respectively.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10. Intangible Assets, Net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net consisted of the following: </w:t>
      </w:r>
    </w:p>
    <w:p>
      <w:pPr>
        <w:pStyle w:val="TextBody"/>
        <w:bidi w:val="0"/>
        <w:spacing w:before="0" w:after="0"/>
        <w:jc w:val="left"/>
        <w:rPr>
          <w:spacing w:val="0"/>
        </w:rPr>
      </w:pPr>
      <w:r>
        <w:rPr>
          <w:spacing w:val="0"/>
        </w:rPr>
        <w:t> </w:t>
      </w:r>
    </w:p>
    <w:tbl>
      <w:tblPr>
        <w:tblW w:w="12290" w:type="dxa"/>
        <w:jc w:val="left"/>
        <w:tblInd w:w="0" w:type="dxa"/>
        <w:tblLayout w:type="fixed"/>
        <w:tblCellMar>
          <w:top w:w="0" w:type="dxa"/>
          <w:left w:w="0" w:type="dxa"/>
          <w:bottom w:w="0" w:type="dxa"/>
          <w:right w:w="0" w:type="dxa"/>
        </w:tblCellMar>
      </w:tblPr>
      <w:tblGrid>
        <w:gridCol w:w="1325"/>
        <w:gridCol w:w="120"/>
        <w:gridCol w:w="60"/>
        <w:gridCol w:w="980"/>
        <w:gridCol w:w="60"/>
        <w:gridCol w:w="120"/>
        <w:gridCol w:w="87"/>
        <w:gridCol w:w="1283"/>
        <w:gridCol w:w="155"/>
        <w:gridCol w:w="60"/>
        <w:gridCol w:w="90"/>
        <w:gridCol w:w="1145"/>
        <w:gridCol w:w="155"/>
        <w:gridCol w:w="60"/>
        <w:gridCol w:w="60"/>
        <w:gridCol w:w="980"/>
        <w:gridCol w:w="60"/>
        <w:gridCol w:w="120"/>
        <w:gridCol w:w="60"/>
        <w:gridCol w:w="980"/>
        <w:gridCol w:w="60"/>
        <w:gridCol w:w="120"/>
        <w:gridCol w:w="73"/>
        <w:gridCol w:w="1297"/>
        <w:gridCol w:w="155"/>
        <w:gridCol w:w="60"/>
        <w:gridCol w:w="90"/>
        <w:gridCol w:w="1145"/>
        <w:gridCol w:w="155"/>
        <w:gridCol w:w="60"/>
        <w:gridCol w:w="60"/>
        <w:gridCol w:w="98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29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29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0"/>
              <w:jc w:val="left"/>
              <w:rPr/>
            </w:pPr>
            <w:r>
              <w:rPr/>
              <w:t> </w:t>
            </w:r>
          </w:p>
        </w:tc>
      </w:tr>
      <w:tr>
        <w:trPr/>
        <w:tc>
          <w:tcPr>
            <w:tcW w:w="132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Gross</w:t>
              <w:br/>
              <w:t>Carrying</w:t>
              <w:b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Impairment</w:t>
              <w:br/>
              <w:t>Amount</w:t>
            </w:r>
          </w:p>
          <w:p>
            <w:pPr>
              <w:pStyle w:val="TableContents"/>
              <w:bidi w:val="0"/>
              <w:spacing w:before="0" w:after="0"/>
              <w:jc w:val="center"/>
              <w:rPr>
                <w:b/>
                <w:spacing w:val="0"/>
                <w:sz w:val="9"/>
              </w:rPr>
            </w:pPr>
            <w:r>
              <w:rPr>
                <w:b/>
                <w:spacing w:val="0"/>
                <w:sz w:val="9"/>
              </w:rPr>
              <w:t>(iv)</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Net</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Carrying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Gross</w:t>
              <w:br/>
              <w:t>Carrying</w:t>
              <w:b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Impairment</w:t>
              <w:br/>
              <w:t>Amount</w:t>
            </w:r>
          </w:p>
          <w:p>
            <w:pPr>
              <w:pStyle w:val="TableContents"/>
              <w:bidi w:val="0"/>
              <w:spacing w:before="0" w:after="0"/>
              <w:jc w:val="center"/>
              <w:rPr>
                <w:b/>
                <w:spacing w:val="0"/>
                <w:sz w:val="9"/>
              </w:rPr>
            </w:pPr>
            <w:r>
              <w:rPr>
                <w:b/>
                <w:spacing w:val="0"/>
                <w:sz w:val="9"/>
              </w:rPr>
              <w:t>(iv)</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Net</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Carrying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Amount</w:t>
            </w:r>
          </w:p>
        </w:tc>
        <w:tc>
          <w:tcPr>
            <w:tcW w:w="75" w:type="dxa"/>
            <w:tcBorders/>
            <w:vAlign w:val="center"/>
          </w:tcPr>
          <w:p>
            <w:pPr>
              <w:pStyle w:val="TableContents"/>
              <w:bidi w:val="0"/>
              <w:spacing w:before="0" w:after="0"/>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Finite-lived intangible assets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VPT</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2,586,911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(301,806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2,285,105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2,586,911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(560,497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2,026,414</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Robotics platform technology</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777,711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(97,214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680,497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777,711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(174,985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602,726</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VMT</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609,170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(50,764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558,406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609,170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(172,598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436,572</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725,879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(424,821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923,998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(520,148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(36,015</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367,835</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License of maintenance and overhauls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8,163</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4,713,994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(879,038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(35,130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3,799,826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4,912,113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(1,434,388</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(36,015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3,441,710</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Indefinite-lived 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28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 license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494,000</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316,643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316,643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317,458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317,458</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indefinite-lived intangible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810,643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810,643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811,458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811,458</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5,524,637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(879,038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4,610,469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5,723,571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(1,434,388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(36,015</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4,253,168</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recorded amortization expense of RMB230,501, RMB537,669 and RMB567,390 for the years ended December 31,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10. Intangible Assets, Net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Total future amortization expenses for finite-lived intangible assets were estimated as follows: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1850"/>
        <w:gridCol w:w="120"/>
        <w:gridCol w:w="60"/>
        <w:gridCol w:w="98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Within 1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588,878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1 and 2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567,086</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527,314</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3 and 4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445,176</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4 and 5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342,927</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970,329</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3,441,710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useful life of VPT acquired in the business combination of Xiaoju Group is assessed to be 10 years. The VMTUD acquired through business combination is considered indefinite-lived until the completion of the associated research and development efforts and a determination related to commercial feasibility. As of December 31, 2024, the VMTUD was transferred into VMT as finite-lived intangible assets upon its completion and its estimated useful life is assessed to be 5 years. Research and development expenditures that are incurred after the acquisition, including those for completing the research and development activities, are expensed as incurred. No impairment was recognized for these assets as of December 31, 2024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Dogotix Inc. (“Dogotix”) is primarily engaged in research and development of robots with human-robot interaction functions since 2021. On September 29, 2023, the Group entered into share purchase agreements to acquire 74.82% of the equity interest of Dogotix for a cash consideration of US$98.96 million (approximated to RMB710 million). Upon completion of the acquisition on October 9, 2023, Dogotix became a wholly-owned subsidiary of the Group. The fair value of the 25.18% equity interest in Dogotix previously held by the Group amounted to RMB205 million at the acquisition date. The total consideration amounted to RMB915 million. Substantially all of the fair value of the gross assets (excluding cash and cash equivalents, deferred tax assets, and consideration transferred in excess resulting from the effects of deferred tax liabilities) acquired was concentrated in the robotics platform technology. The acquisition was determined to be an asset acquisition for accounting purposes. The Group accounted for the acquisition of the robotics platform technology as an intangible asset with a total cost of RMB778 million. The useful life of this asset is assessed to be 10 years. No impairment was recognized for the asset as of December 31, 2024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(iii)</w:t>
            </w:r>
          </w:p>
        </w:tc>
        <w:tc>
          <w:tcPr>
            <w:tcW w:w="97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indefinite-lived intangible assets primarily include surveying and mapping qualifications, insurance agency licenses, and license plate.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(iv)</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losse</w:t>
            </w:r>
          </w:p>
          <w:p>
            <w:pPr>
              <w:pStyle w:val="TableContents"/>
              <w:bidi w:val="0"/>
              <w:spacing w:before="0" w:after="0"/>
              <w:jc w:val="left"/>
              <w:rPr>
                <w:rFonts w:ascii="Times New Roman" w:hAnsi="Times New Roman"/>
                <w:sz w:val="20"/>
              </w:rPr>
            </w:pPr>
            <w:r>
              <w:rPr>
                <w:rFonts w:ascii="Times New Roman" w:hAnsi="Times New Roman"/>
                <w:sz w:val="20"/>
              </w:rPr>
              <w:t>s</w:t>
            </w:r>
          </w:p>
          <w:p>
            <w:pPr>
              <w:pStyle w:val="TableContents"/>
              <w:bidi w:val="0"/>
              <w:spacing w:before="0" w:after="0"/>
              <w:jc w:val="left"/>
              <w:rPr>
                <w:rFonts w:ascii="Times New Roman" w:hAnsi="Times New Roman"/>
                <w:sz w:val="20"/>
              </w:rPr>
            </w:pPr>
            <w:r>
              <w:rPr>
                <w:rFonts w:ascii="Times New Roman" w:hAnsi="Times New Roman"/>
                <w:sz w:val="20"/>
              </w:rPr>
              <w:t xml:space="preserve">of RMB8,712, nil and RMB885 were recognized for the years ended December 31, 2023, 2024 and 2025, respectively, primarily due to the phase out of certain software.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11. Land Use Rights, Net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Land use rights and related accumulated amortization consisted of the following: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2660"/>
        <w:gridCol w:w="120"/>
        <w:gridCol w:w="60"/>
        <w:gridCol w:w="980"/>
        <w:gridCol w:w="155"/>
        <w:gridCol w:w="120"/>
        <w:gridCol w:w="60"/>
        <w:gridCol w:w="980"/>
        <w:gridCol w:w="11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1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2,918,023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3,465,944</w:t>
            </w:r>
          </w:p>
        </w:tc>
        <w:tc>
          <w:tcPr>
            <w:tcW w:w="11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(173,599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(249,418</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land use rights,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2,744,424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3,216,526</w:t>
            </w:r>
          </w:p>
        </w:tc>
        <w:tc>
          <w:tcPr>
            <w:tcW w:w="11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Additions to land use rights of </w:t>
      </w:r>
    </w:p>
    <w:p>
      <w:pPr>
        <w:pStyle w:val="TextBody"/>
        <w:bidi w:val="0"/>
        <w:spacing w:before="240" w:after="0"/>
        <w:jc w:val="left"/>
        <w:rPr>
          <w:rFonts w:ascii="Times New Roman" w:hAnsi="Times New Roman"/>
          <w:sz w:val="20"/>
        </w:rPr>
      </w:pPr>
      <w:r>
        <w:rPr>
          <w:rFonts w:ascii="Times New Roman" w:hAnsi="Times New Roman"/>
          <w:sz w:val="20"/>
        </w:rPr>
        <w:t>RMB</w:t>
      </w:r>
    </w:p>
    <w:p>
      <w:pPr>
        <w:pStyle w:val="TextBody"/>
        <w:bidi w:val="0"/>
        <w:spacing w:before="240" w:after="0"/>
        <w:jc w:val="left"/>
        <w:rPr>
          <w:rFonts w:ascii="Times New Roman" w:hAnsi="Times New Roman"/>
          <w:sz w:val="20"/>
        </w:rPr>
      </w:pPr>
      <w:r>
        <w:rPr>
          <w:rFonts w:ascii="Times New Roman" w:hAnsi="Times New Roman"/>
          <w:sz w:val="20"/>
        </w:rPr>
        <w:t>90,341</w:t>
      </w:r>
    </w:p>
    <w:p>
      <w:pPr>
        <w:pStyle w:val="TextBody"/>
        <w:bidi w:val="0"/>
        <w:spacing w:before="240" w:after="0"/>
        <w:jc w:val="left"/>
        <w:rPr>
          <w:rFonts w:ascii="Times New Roman" w:hAnsi="Times New Roman"/>
          <w:sz w:val="20"/>
        </w:rPr>
      </w:pPr>
      <w:r>
        <w:rPr>
          <w:rFonts w:ascii="Times New Roman" w:hAnsi="Times New Roman"/>
          <w:sz w:val="20"/>
        </w:rPr>
        <w:t>, RMB</w:t>
      </w:r>
    </w:p>
    <w:p>
      <w:pPr>
        <w:pStyle w:val="TextBody"/>
        <w:bidi w:val="0"/>
        <w:spacing w:before="240" w:after="0"/>
        <w:jc w:val="left"/>
        <w:rPr>
          <w:rFonts w:ascii="Times New Roman" w:hAnsi="Times New Roman"/>
          <w:sz w:val="20"/>
        </w:rPr>
      </w:pPr>
      <w:r>
        <w:rPr>
          <w:rFonts w:ascii="Times New Roman" w:hAnsi="Times New Roman"/>
          <w:sz w:val="20"/>
        </w:rPr>
        <w:t>4,925</w:t>
      </w:r>
    </w:p>
    <w:p>
      <w:pPr>
        <w:pStyle w:val="TextBody"/>
        <w:bidi w:val="0"/>
        <w:spacing w:before="240" w:after="0"/>
        <w:jc w:val="left"/>
        <w:rPr>
          <w:rFonts w:ascii="Times New Roman" w:hAnsi="Times New Roman"/>
          <w:sz w:val="20"/>
        </w:rPr>
      </w:pPr>
      <w:r>
        <w:rPr>
          <w:rFonts w:ascii="Times New Roman" w:hAnsi="Times New Roman"/>
          <w:sz w:val="20"/>
        </w:rPr>
        <w:t>and RMB</w:t>
      </w:r>
    </w:p>
    <w:p>
      <w:pPr>
        <w:pStyle w:val="TextBody"/>
        <w:bidi w:val="0"/>
        <w:spacing w:before="240" w:after="0"/>
        <w:jc w:val="left"/>
        <w:rPr>
          <w:rFonts w:ascii="Times New Roman" w:hAnsi="Times New Roman"/>
          <w:sz w:val="20"/>
        </w:rPr>
      </w:pPr>
      <w:r>
        <w:rPr>
          <w:rFonts w:ascii="Times New Roman" w:hAnsi="Times New Roman"/>
          <w:sz w:val="20"/>
        </w:rPr>
        <w:t>547,921</w:t>
      </w:r>
    </w:p>
    <w:p>
      <w:pPr>
        <w:pStyle w:val="TextBody"/>
        <w:bidi w:val="0"/>
        <w:spacing w:before="240" w:after="0"/>
        <w:jc w:val="left"/>
        <w:rPr/>
      </w:pPr>
      <w: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years ended December 31, 2023, 2024 and 2025, respectively, are for the construction of manufacturing facilities and buildings supporting the Group’s vehicle production and daily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recorded amortization expenses for land use rights of RMB48,828, RMB49,868 and RMB75,819 for the years ended December 31,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12. Installment Payment Receivables, Net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Installment payment receivables primarily include customer installment payments for auto financing as well as technical R&amp;D services, which comprise the following: </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4520"/>
        <w:gridCol w:w="120"/>
        <w:gridCol w:w="60"/>
        <w:gridCol w:w="980"/>
        <w:gridCol w:w="60"/>
        <w:gridCol w:w="120"/>
        <w:gridCol w:w="60"/>
        <w:gridCol w:w="1100"/>
        <w:gridCol w:w="75"/>
      </w:tblGrid>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installment payment receivables,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2,558,756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3,553,054</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of installment payment receivables,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4,448,416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6,496,020</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7,007,172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10,049,074</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Installment payment receivables consisted of the following: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4175"/>
        <w:gridCol w:w="120"/>
        <w:gridCol w:w="60"/>
        <w:gridCol w:w="980"/>
        <w:gridCol w:w="155"/>
        <w:gridCol w:w="120"/>
        <w:gridCol w:w="60"/>
        <w:gridCol w:w="1100"/>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installment payment receivables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2,590,645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3,598,443</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of installment payment receivables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4,504,348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6,571,377</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(87,821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(120,746</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7,007,172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10,049,074</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recognized interest income resulting from auto financing arrangements of </w:t>
      </w:r>
    </w:p>
    <w:p>
      <w:pPr>
        <w:pStyle w:val="TextBody"/>
        <w:bidi w:val="0"/>
        <w:spacing w:before="120" w:after="0"/>
        <w:jc w:val="left"/>
        <w:rPr>
          <w:rFonts w:ascii="Times New Roman" w:hAnsi="Times New Roman"/>
          <w:sz w:val="20"/>
        </w:rPr>
      </w:pPr>
      <w:r>
        <w:rPr>
          <w:rFonts w:ascii="Times New Roman" w:hAnsi="Times New Roman"/>
          <w:sz w:val="20"/>
        </w:rPr>
        <w:t xml:space="preserve">RMB278,199, RMB338,158 and RMB396,879 for the years ended December 31,2023,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12. Installment Payment Receivables, Net (continued)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Payment maturity analysis of installment payment receivables for each of the next five years and a reconciliation of the gross receivables to the present value are as follows: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4310"/>
        <w:gridCol w:w="120"/>
        <w:gridCol w:w="103"/>
        <w:gridCol w:w="1897"/>
        <w:gridCol w:w="170"/>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br/>
              <w:t>2025</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Within 1 year</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3,607,968</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1 and 2 years</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2,998,705</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2,156,732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3 and 4 years</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1,378,131</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4 and 5 years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710,122</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1,036,683</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8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receivables of installment payments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11,888,341</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8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Unrealized finance income</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(1,718,521</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8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gross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10,169,820</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Allowance for installment payment receivables</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(120,746</w:t>
            </w:r>
          </w:p>
        </w:tc>
        <w:tc>
          <w:tcPr>
            <w:tcW w:w="17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8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Installment payment receivables, net</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897" w:type="dxa"/>
            <w:tcBorders/>
            <w:shd w:fill="CCEEFF" w:val="clear"/>
            <w:vAlign w:val="center"/>
          </w:tcPr>
          <w:p>
            <w:pPr>
              <w:pStyle w:val="TableContents"/>
              <w:bidi w:val="0"/>
              <w:spacing w:before="0" w:after="283"/>
              <w:jc w:val="right"/>
              <w:rPr/>
            </w:pPr>
            <w:r>
              <w:rPr/>
              <w:t>10,049,074</w:t>
            </w:r>
          </w:p>
        </w:tc>
        <w:tc>
          <w:tcPr>
            <w:tcW w:w="17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double" w:sz="6" w:space="1" w:color="000000"/>
              </w:rPr>
            </w:pPr>
            <w:r>
              <w:rPr>
                <w:bdr w:val="double" w:sz="6" w:space="1" w:color="000000"/>
              </w:rPr>
              <w:t> </w:t>
            </w:r>
          </w:p>
        </w:tc>
        <w:tc>
          <w:tcPr>
            <w:tcW w:w="18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Long-term investments consisted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0"/>
        <w:gridCol w:w="120"/>
        <w:gridCol w:w="136"/>
        <w:gridCol w:w="1819"/>
        <w:gridCol w:w="155"/>
        <w:gridCol w:w="60"/>
        <w:gridCol w:w="136"/>
        <w:gridCol w:w="1819"/>
        <w:gridCol w:w="155"/>
        <w:gridCol w:w="60"/>
        <w:gridCol w:w="69"/>
        <w:gridCol w:w="1136"/>
        <w:gridCol w:w="155"/>
        <w:gridCol w:w="60"/>
        <w:gridCol w:w="107"/>
        <w:gridCol w:w="1428"/>
        <w:gridCol w:w="60"/>
        <w:gridCol w:w="120"/>
        <w:gridCol w:w="60"/>
        <w:gridCol w:w="980"/>
        <w:gridCol w:w="170"/>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without readily</w:t>
              <w:br/>
              <w:t>determinable fair</w:t>
              <w:br/>
              <w:t>values</w:t>
            </w:r>
          </w:p>
          <w:p>
            <w:pPr>
              <w:pStyle w:val="TableContents"/>
              <w:bidi w:val="0"/>
              <w:spacing w:before="0" w:after="0"/>
              <w:jc w:val="center"/>
              <w:rPr>
                <w:b/>
                <w:spacing w:val="0"/>
                <w:sz w:val="9"/>
              </w:rPr>
            </w:pPr>
            <w:r>
              <w:rPr>
                <w:b/>
                <w:spacing w:val="0"/>
                <w:sz w:val="9"/>
              </w:rPr>
              <w:t>(i)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 readily</w:t>
              <w:br/>
              <w:t>determinable fair</w:t>
              <w:br/>
              <w:t>values</w:t>
            </w:r>
          </w:p>
          <w:p>
            <w:pPr>
              <w:pStyle w:val="TableContents"/>
              <w:bidi w:val="0"/>
              <w:spacing w:before="0" w:after="0"/>
              <w:jc w:val="center"/>
              <w:rPr>
                <w:b/>
                <w:spacing w:val="0"/>
                <w:sz w:val="9"/>
              </w:rPr>
            </w:pPr>
            <w:r>
              <w:rPr>
                <w:b/>
                <w:spacing w:val="0"/>
                <w:sz w:val="9"/>
              </w:rPr>
              <w:t>(ii)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Debt</w:t>
              <w:br/>
              <w:t>investments</w:t>
            </w:r>
          </w:p>
          <w:p>
            <w:pPr>
              <w:pStyle w:val="TableContents"/>
              <w:bidi w:val="0"/>
              <w:spacing w:before="0" w:after="0"/>
              <w:jc w:val="center"/>
              <w:rPr>
                <w:b/>
                <w:spacing w:val="0"/>
                <w:sz w:val="9"/>
              </w:rPr>
            </w:pPr>
            <w:r>
              <w:rPr>
                <w:b/>
                <w:spacing w:val="0"/>
                <w:sz w:val="9"/>
              </w:rPr>
              <w:t>(iii)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method</w:t>
              <w:br/>
              <w:t>investments</w:t>
            </w:r>
          </w:p>
          <w:p>
            <w:pPr>
              <w:pStyle w:val="TableContents"/>
              <w:bidi w:val="0"/>
              <w:spacing w:before="0" w:after="0"/>
              <w:jc w:val="center"/>
              <w:rPr>
                <w:b/>
                <w:spacing w:val="0"/>
                <w:sz w:val="9"/>
              </w:rPr>
            </w:pPr>
            <w:r>
              <w:rPr>
                <w:b/>
                <w:spacing w:val="0"/>
                <w:sz w:val="9"/>
              </w:rPr>
              <w:t>(iv)</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0"/>
              <w:jc w:val="left"/>
              <w:rPr>
                <w:spacing w:val="0"/>
              </w:rPr>
            </w:pPr>
            <w:r>
              <w:rPr>
                <w:spacing w:val="0"/>
              </w:rPr>
              <w:t> </w:t>
            </w:r>
          </w:p>
        </w:tc>
        <w:tc>
          <w:tcPr>
            <w:tcW w:w="1819" w:type="dxa"/>
            <w:tcBorders/>
            <w:shd w:fill="CCEEFF" w:val="clear"/>
            <w:vAlign w:val="center"/>
          </w:tcPr>
          <w:p>
            <w:pPr>
              <w:pStyle w:val="TableContents"/>
              <w:bidi w:val="0"/>
              <w:spacing w:before="0" w:after="0"/>
              <w:jc w:val="right"/>
              <w:rPr>
                <w:b/>
                <w:spacing w:val="0"/>
              </w:rPr>
            </w:pPr>
            <w:r>
              <w:rPr>
                <w:b/>
                <w:spacing w:val="0"/>
              </w:rPr>
              <w:t>191,000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0"/>
              <w:jc w:val="left"/>
              <w:rPr>
                <w:spacing w:val="0"/>
              </w:rPr>
            </w:pPr>
            <w:r>
              <w:rPr>
                <w:spacing w:val="0"/>
              </w:rPr>
              <w:t> </w:t>
            </w:r>
          </w:p>
        </w:tc>
        <w:tc>
          <w:tcPr>
            <w:tcW w:w="1819" w:type="dxa"/>
            <w:tcBorders/>
            <w:shd w:fill="CCEEFF" w:val="clear"/>
            <w:vAlign w:val="center"/>
          </w:tcPr>
          <w:p>
            <w:pPr>
              <w:pStyle w:val="TableContents"/>
              <w:bidi w:val="0"/>
              <w:spacing w:before="0" w:after="0"/>
              <w:jc w:val="right"/>
              <w:rPr>
                <w:b/>
                <w:spacing w:val="0"/>
              </w:rPr>
            </w:pPr>
            <w:r>
              <w:rPr>
                <w:b/>
                <w:spacing w:val="0"/>
              </w:rPr>
              <w:t>112,641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1,626,131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1428" w:type="dxa"/>
            <w:tcBorders/>
            <w:shd w:fill="CCEEFF" w:val="clear"/>
            <w:vAlign w:val="center"/>
          </w:tcPr>
          <w:p>
            <w:pPr>
              <w:pStyle w:val="TableContents"/>
              <w:bidi w:val="0"/>
              <w:spacing w:before="0" w:after="0"/>
              <w:jc w:val="right"/>
              <w:rPr>
                <w:b/>
                <w:spacing w:val="0"/>
              </w:rPr>
            </w:pPr>
            <w:r>
              <w:rPr>
                <w:b/>
                <w:spacing w:val="0"/>
              </w:rPr>
              <w:t>365,260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2,295,032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127,018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127,018</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from debt investments to</w:t>
            </w:r>
          </w:p>
          <w:p>
            <w:pPr>
              <w:pStyle w:val="TableContents"/>
              <w:bidi w:val="0"/>
              <w:spacing w:before="0" w:after="20"/>
              <w:jc w:val="left"/>
              <w:rPr>
                <w:rFonts w:ascii="Times New Roman" w:hAnsi="Times New Roman"/>
                <w:sz w:val="20"/>
              </w:rPr>
            </w:pPr>
            <w:r>
              <w:rPr>
                <w:rFonts w:ascii="Times New Roman" w:hAnsi="Times New Roman"/>
                <w:sz w:val="20"/>
              </w:rPr>
              <w:t>equity investments without readily determinable fair values</w:t>
            </w:r>
          </w:p>
          <w:p>
            <w:pPr>
              <w:pStyle w:val="TableContents"/>
              <w:bidi w:val="0"/>
              <w:spacing w:before="0" w:after="2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57,832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(57,832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(50,826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(7,989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(165,549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(224,364</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p>
            <w:pPr>
              <w:pStyle w:val="TableContents"/>
              <w:bidi w:val="0"/>
              <w:spacing w:before="0" w:after="0"/>
              <w:jc w:val="left"/>
              <w:rPr>
                <w:rFonts w:ascii="Times New Roman" w:hAnsi="Times New Roman"/>
                <w:sz w:val="12"/>
              </w:rPr>
            </w:pPr>
            <w:r>
              <w:rPr>
                <w:rFonts w:ascii="Times New Roman" w:hAnsi="Times New Roman"/>
                <w:sz w:val="12"/>
              </w:rPr>
              <w:t>(iv)</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54,740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54,740</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(204,836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(204,836</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30,681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6,342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37,343</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819" w:type="dxa"/>
            <w:tcBorders/>
            <w:vAlign w:val="center"/>
          </w:tcPr>
          <w:p>
            <w:pPr>
              <w:pStyle w:val="TableContents"/>
              <w:bidi w:val="0"/>
              <w:spacing w:before="0" w:after="0"/>
              <w:jc w:val="right"/>
              <w:rPr>
                <w:b/>
                <w:spacing w:val="0"/>
              </w:rPr>
            </w:pPr>
            <w:r>
              <w:rPr>
                <w:b/>
                <w:spacing w:val="0"/>
              </w:rPr>
              <w:t>198,006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819" w:type="dxa"/>
            <w:tcBorders/>
            <w:vAlign w:val="center"/>
          </w:tcPr>
          <w:p>
            <w:pPr>
              <w:pStyle w:val="TableContents"/>
              <w:bidi w:val="0"/>
              <w:spacing w:before="0" w:after="0"/>
              <w:jc w:val="right"/>
              <w:rPr>
                <w:b/>
                <w:spacing w:val="0"/>
              </w:rPr>
            </w:pPr>
            <w:r>
              <w:rPr>
                <w:b/>
                <w:spacing w:val="0"/>
              </w:rPr>
              <w:t>104,972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1,228,595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rPr>
            </w:pPr>
            <w:r>
              <w:rPr>
                <w:spacing w:val="0"/>
              </w:rPr>
              <w:t> </w:t>
            </w:r>
          </w:p>
        </w:tc>
        <w:tc>
          <w:tcPr>
            <w:tcW w:w="1428" w:type="dxa"/>
            <w:tcBorders/>
            <w:vAlign w:val="center"/>
          </w:tcPr>
          <w:p>
            <w:pPr>
              <w:pStyle w:val="TableContents"/>
              <w:bidi w:val="0"/>
              <w:spacing w:before="0" w:after="0"/>
              <w:jc w:val="right"/>
              <w:rPr>
                <w:b/>
                <w:spacing w:val="0"/>
              </w:rPr>
            </w:pPr>
            <w:r>
              <w:rPr>
                <w:b/>
                <w:spacing w:val="0"/>
              </w:rPr>
              <w:t>553,360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2,084,933</w:t>
            </w:r>
          </w:p>
        </w:tc>
        <w:tc>
          <w:tcPr>
            <w:tcW w:w="170" w:type="dxa"/>
            <w:tcBorders/>
            <w:vAlign w:val="center"/>
          </w:tcPr>
          <w:p>
            <w:pPr>
              <w:pStyle w:val="TableContents"/>
              <w:bidi w:val="0"/>
              <w:spacing w:before="0" w:after="0"/>
              <w:jc w:val="left"/>
              <w:rPr>
                <w:spacing w:val="0"/>
              </w:rPr>
            </w:pPr>
            <w:r>
              <w:rPr>
                <w:spacing w:val="0"/>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double" w:sz="6" w:space="1" w:color="000000"/>
              </w:rPr>
            </w:pPr>
            <w:r>
              <w:rPr>
                <w:bdr w:val="double" w:sz="6" w:space="1" w:color="000000"/>
              </w:rPr>
              <w:t> </w:t>
            </w:r>
          </w:p>
        </w:tc>
        <w:tc>
          <w:tcPr>
            <w:tcW w:w="142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Long-term investments consisted of the following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5"/>
        <w:gridCol w:w="120"/>
        <w:gridCol w:w="136"/>
        <w:gridCol w:w="1819"/>
        <w:gridCol w:w="155"/>
        <w:gridCol w:w="60"/>
        <w:gridCol w:w="136"/>
        <w:gridCol w:w="1819"/>
        <w:gridCol w:w="155"/>
        <w:gridCol w:w="60"/>
        <w:gridCol w:w="69"/>
        <w:gridCol w:w="1136"/>
        <w:gridCol w:w="155"/>
        <w:gridCol w:w="60"/>
        <w:gridCol w:w="107"/>
        <w:gridCol w:w="1428"/>
        <w:gridCol w:w="155"/>
        <w:gridCol w:w="60"/>
        <w:gridCol w:w="60"/>
        <w:gridCol w:w="980"/>
        <w:gridCol w:w="170"/>
      </w:tblGrid>
      <w:tr>
        <w:trPr/>
        <w:tc>
          <w:tcPr>
            <w:tcW w:w="1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without readily</w:t>
              <w:br/>
              <w:t>determinable fair</w:t>
              <w:br/>
              <w:t>values</w:t>
            </w:r>
          </w:p>
          <w:p>
            <w:pPr>
              <w:pStyle w:val="TableContents"/>
              <w:bidi w:val="0"/>
              <w:spacing w:before="0" w:after="0"/>
              <w:jc w:val="center"/>
              <w:rPr>
                <w:b/>
                <w:spacing w:val="0"/>
                <w:sz w:val="9"/>
              </w:rPr>
            </w:pPr>
            <w:r>
              <w:rPr>
                <w:b/>
                <w:spacing w:val="0"/>
                <w:sz w:val="9"/>
              </w:rPr>
              <w:t>(i)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 readily</w:t>
              <w:br/>
              <w:t>determinable fair</w:t>
              <w:br/>
              <w:t>values</w:t>
            </w:r>
          </w:p>
          <w:p>
            <w:pPr>
              <w:pStyle w:val="TableContents"/>
              <w:bidi w:val="0"/>
              <w:spacing w:before="0" w:after="0"/>
              <w:jc w:val="center"/>
              <w:rPr>
                <w:b/>
                <w:spacing w:val="0"/>
                <w:sz w:val="9"/>
              </w:rPr>
            </w:pPr>
            <w:r>
              <w:rPr>
                <w:b/>
                <w:spacing w:val="0"/>
                <w:sz w:val="9"/>
              </w:rPr>
              <w:t>(ii)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Debt</w:t>
              <w:br/>
              <w:t>investments</w:t>
            </w:r>
          </w:p>
          <w:p>
            <w:pPr>
              <w:pStyle w:val="TableContents"/>
              <w:bidi w:val="0"/>
              <w:spacing w:before="0" w:after="0"/>
              <w:jc w:val="center"/>
              <w:rPr>
                <w:b/>
                <w:spacing w:val="0"/>
                <w:sz w:val="9"/>
              </w:rPr>
            </w:pPr>
            <w:r>
              <w:rPr>
                <w:b/>
                <w:spacing w:val="0"/>
                <w:sz w:val="9"/>
              </w:rPr>
              <w:t>(iii)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method</w:t>
              <w:br/>
              <w:t>investments</w:t>
            </w:r>
          </w:p>
          <w:p>
            <w:pPr>
              <w:pStyle w:val="TableContents"/>
              <w:bidi w:val="0"/>
              <w:spacing w:before="0" w:after="0"/>
              <w:jc w:val="center"/>
              <w:rPr>
                <w:b/>
                <w:spacing w:val="0"/>
                <w:sz w:val="9"/>
              </w:rPr>
            </w:pPr>
            <w:r>
              <w:rPr>
                <w:b/>
                <w:spacing w:val="0"/>
                <w:sz w:val="9"/>
              </w:rPr>
              <w:t>(iv)</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13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0"/>
              <w:jc w:val="left"/>
              <w:rPr>
                <w:spacing w:val="0"/>
              </w:rPr>
            </w:pPr>
            <w:r>
              <w:rPr>
                <w:spacing w:val="0"/>
              </w:rPr>
              <w:t> </w:t>
            </w:r>
          </w:p>
        </w:tc>
        <w:tc>
          <w:tcPr>
            <w:tcW w:w="1819" w:type="dxa"/>
            <w:tcBorders/>
            <w:shd w:fill="CCEEFF" w:val="clear"/>
            <w:vAlign w:val="center"/>
          </w:tcPr>
          <w:p>
            <w:pPr>
              <w:pStyle w:val="TableContents"/>
              <w:bidi w:val="0"/>
              <w:spacing w:before="0" w:after="0"/>
              <w:jc w:val="right"/>
              <w:rPr>
                <w:b/>
                <w:spacing w:val="0"/>
              </w:rPr>
            </w:pPr>
            <w:r>
              <w:rPr>
                <w:b/>
                <w:spacing w:val="0"/>
              </w:rPr>
              <w:t>198,006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0"/>
              <w:jc w:val="left"/>
              <w:rPr>
                <w:spacing w:val="0"/>
              </w:rPr>
            </w:pPr>
            <w:r>
              <w:rPr>
                <w:spacing w:val="0"/>
              </w:rPr>
              <w:t> </w:t>
            </w:r>
          </w:p>
        </w:tc>
        <w:tc>
          <w:tcPr>
            <w:tcW w:w="1819" w:type="dxa"/>
            <w:tcBorders/>
            <w:shd w:fill="CCEEFF" w:val="clear"/>
            <w:vAlign w:val="center"/>
          </w:tcPr>
          <w:p>
            <w:pPr>
              <w:pStyle w:val="TableContents"/>
              <w:bidi w:val="0"/>
              <w:spacing w:before="0" w:after="0"/>
              <w:jc w:val="right"/>
              <w:rPr>
                <w:b/>
                <w:spacing w:val="0"/>
              </w:rPr>
            </w:pPr>
            <w:r>
              <w:rPr>
                <w:b/>
                <w:spacing w:val="0"/>
              </w:rPr>
              <w:t>104,972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1,228,595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1428" w:type="dxa"/>
            <w:tcBorders/>
            <w:shd w:fill="CCEEFF" w:val="clear"/>
            <w:vAlign w:val="center"/>
          </w:tcPr>
          <w:p>
            <w:pPr>
              <w:pStyle w:val="TableContents"/>
              <w:bidi w:val="0"/>
              <w:spacing w:before="0" w:after="0"/>
              <w:jc w:val="right"/>
              <w:rPr>
                <w:b/>
                <w:spacing w:val="0"/>
              </w:rPr>
            </w:pPr>
            <w:r>
              <w:rPr>
                <w:b/>
                <w:spacing w:val="0"/>
              </w:rPr>
              <w:t>553,360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2,084,933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144,237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144,237</w:t>
            </w:r>
          </w:p>
        </w:tc>
        <w:tc>
          <w:tcPr>
            <w:tcW w:w="170" w:type="dxa"/>
            <w:tcBorders/>
            <w:vAlign w:val="center"/>
          </w:tcPr>
          <w:p>
            <w:pPr>
              <w:pStyle w:val="TableContents"/>
              <w:bidi w:val="0"/>
              <w:spacing w:before="0" w:after="283"/>
              <w:jc w:val="left"/>
              <w:rPr/>
            </w:pPr>
            <w:r>
              <w:rPr/>
              <w:t> </w:t>
            </w:r>
          </w:p>
        </w:tc>
      </w:tr>
      <w:tr>
        <w:trPr/>
        <w:tc>
          <w:tcPr>
            <w:tcW w:w="1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(24,189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(27,425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(210,377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(261,991</w:t>
            </w:r>
          </w:p>
        </w:tc>
        <w:tc>
          <w:tcPr>
            <w:tcW w:w="170" w:type="dxa"/>
            <w:tcBorders/>
            <w:shd w:fill="CCEEFF" w:val="clear"/>
            <w:vAlign w:val="center"/>
          </w:tcPr>
          <w:p>
            <w:pPr>
              <w:pStyle w:val="TableContents"/>
              <w:bidi w:val="0"/>
              <w:spacing w:before="0" w:after="283"/>
              <w:jc w:val="left"/>
              <w:rPr/>
            </w:pPr>
            <w:r>
              <w:rPr/>
              <w:t>) </w:t>
            </w:r>
          </w:p>
        </w:tc>
      </w:tr>
      <w:tr>
        <w:trPr/>
        <w:tc>
          <w:tcPr>
            <w:tcW w:w="1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p>
            <w:pPr>
              <w:pStyle w:val="TableContents"/>
              <w:bidi w:val="0"/>
              <w:spacing w:before="0" w:after="0"/>
              <w:jc w:val="left"/>
              <w:rPr>
                <w:rFonts w:ascii="Times New Roman" w:hAnsi="Times New Roman"/>
                <w:sz w:val="12"/>
              </w:rPr>
            </w:pPr>
            <w:r>
              <w:rPr>
                <w:rFonts w:ascii="Times New Roman" w:hAnsi="Times New Roman"/>
                <w:sz w:val="12"/>
              </w:rPr>
              <w:t>(iv)</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(29,069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(29,069</w:t>
            </w:r>
          </w:p>
        </w:tc>
        <w:tc>
          <w:tcPr>
            <w:tcW w:w="170" w:type="dxa"/>
            <w:tcBorders/>
            <w:vAlign w:val="center"/>
          </w:tcPr>
          <w:p>
            <w:pPr>
              <w:pStyle w:val="TableContents"/>
              <w:bidi w:val="0"/>
              <w:spacing w:before="0" w:after="283"/>
              <w:jc w:val="left"/>
              <w:rPr/>
            </w:pPr>
            <w:r>
              <w:rPr/>
              <w:t>) </w:t>
            </w:r>
          </w:p>
        </w:tc>
      </w:tr>
      <w:tr>
        <w:trPr/>
        <w:tc>
          <w:tcPr>
            <w:tcW w:w="1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8,294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25,084</w:t>
            </w:r>
          </w:p>
        </w:tc>
        <w:tc>
          <w:tcPr>
            <w:tcW w:w="170" w:type="dxa"/>
            <w:tcBorders/>
            <w:shd w:fill="CCEEFF" w:val="clear"/>
            <w:vAlign w:val="center"/>
          </w:tcPr>
          <w:p>
            <w:pPr>
              <w:pStyle w:val="TableContents"/>
              <w:bidi w:val="0"/>
              <w:spacing w:before="0" w:after="283"/>
              <w:jc w:val="left"/>
              <w:rPr/>
            </w:pPr>
            <w:r>
              <w:rPr/>
              <w:t> </w:t>
            </w:r>
          </w:p>
        </w:tc>
      </w:tr>
      <w:tr>
        <w:trPr/>
        <w:tc>
          <w:tcPr>
            <w:tcW w:w="1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819" w:type="dxa"/>
            <w:tcBorders/>
            <w:vAlign w:val="center"/>
          </w:tcPr>
          <w:p>
            <w:pPr>
              <w:pStyle w:val="TableContents"/>
              <w:bidi w:val="0"/>
              <w:spacing w:before="0" w:after="0"/>
              <w:jc w:val="right"/>
              <w:rPr>
                <w:b/>
                <w:spacing w:val="0"/>
              </w:rPr>
            </w:pPr>
            <w:r>
              <w:rPr>
                <w:b/>
                <w:spacing w:val="0"/>
              </w:rPr>
              <w:t>173,817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819" w:type="dxa"/>
            <w:tcBorders/>
            <w:vAlign w:val="center"/>
          </w:tcPr>
          <w:p>
            <w:pPr>
              <w:pStyle w:val="TableContents"/>
              <w:bidi w:val="0"/>
              <w:spacing w:before="0" w:after="0"/>
              <w:jc w:val="right"/>
              <w:rPr>
                <w:b/>
                <w:spacing w:val="0"/>
              </w:rPr>
            </w:pPr>
            <w:r>
              <w:rPr>
                <w:b/>
                <w:spacing w:val="0"/>
              </w:rPr>
              <w:t>78,351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rPr>
            </w:pPr>
            <w:r>
              <w:rPr>
                <w:spacing w:val="0"/>
              </w:rPr>
              <w:t> </w:t>
            </w:r>
          </w:p>
        </w:tc>
        <w:tc>
          <w:tcPr>
            <w:tcW w:w="1136" w:type="dxa"/>
            <w:tcBorders/>
            <w:vAlign w:val="center"/>
          </w:tcPr>
          <w:p>
            <w:pPr>
              <w:pStyle w:val="TableContents"/>
              <w:bidi w:val="0"/>
              <w:spacing w:before="0" w:after="0"/>
              <w:jc w:val="right"/>
              <w:rPr>
                <w:b/>
                <w:spacing w:val="0"/>
              </w:rPr>
            </w:pPr>
            <w:r>
              <w:rPr>
                <w:b/>
                <w:spacing w:val="0"/>
              </w:rPr>
              <w:t>1,034,204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rPr>
            </w:pPr>
            <w:r>
              <w:rPr>
                <w:spacing w:val="0"/>
              </w:rPr>
              <w:t> </w:t>
            </w:r>
          </w:p>
        </w:tc>
        <w:tc>
          <w:tcPr>
            <w:tcW w:w="1428" w:type="dxa"/>
            <w:tcBorders/>
            <w:vAlign w:val="center"/>
          </w:tcPr>
          <w:p>
            <w:pPr>
              <w:pStyle w:val="TableContents"/>
              <w:bidi w:val="0"/>
              <w:spacing w:before="0" w:after="0"/>
              <w:jc w:val="right"/>
              <w:rPr>
                <w:b/>
                <w:spacing w:val="0"/>
              </w:rPr>
            </w:pPr>
            <w:r>
              <w:rPr>
                <w:b/>
                <w:spacing w:val="0"/>
              </w:rPr>
              <w:t>676,822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1,963,194</w:t>
            </w:r>
          </w:p>
        </w:tc>
        <w:tc>
          <w:tcPr>
            <w:tcW w:w="170" w:type="dxa"/>
            <w:tcBorders/>
            <w:vAlign w:val="center"/>
          </w:tcPr>
          <w:p>
            <w:pPr>
              <w:pStyle w:val="TableContents"/>
              <w:bidi w:val="0"/>
              <w:spacing w:before="0" w:after="0"/>
              <w:jc w:val="left"/>
              <w:rPr>
                <w:spacing w:val="0"/>
              </w:rPr>
            </w:pPr>
            <w:r>
              <w:rPr>
                <w:spacing w:val="0"/>
              </w:rPr>
              <w:t> </w:t>
            </w:r>
          </w:p>
        </w:tc>
      </w:tr>
      <w:tr>
        <w:trPr/>
        <w:tc>
          <w:tcPr>
            <w:tcW w:w="1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double" w:sz="6" w:space="1" w:color="000000"/>
              </w:rPr>
            </w:pPr>
            <w:r>
              <w:rPr>
                <w:bdr w:val="double" w:sz="6" w:space="1" w:color="000000"/>
              </w:rPr>
              <w:t> </w:t>
            </w:r>
          </w:p>
        </w:tc>
        <w:tc>
          <w:tcPr>
            <w:tcW w:w="142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0"/>
        <w:gridCol w:w="120"/>
        <w:gridCol w:w="136"/>
        <w:gridCol w:w="1819"/>
        <w:gridCol w:w="60"/>
        <w:gridCol w:w="120"/>
        <w:gridCol w:w="143"/>
        <w:gridCol w:w="1812"/>
        <w:gridCol w:w="155"/>
        <w:gridCol w:w="60"/>
        <w:gridCol w:w="69"/>
        <w:gridCol w:w="1136"/>
        <w:gridCol w:w="155"/>
        <w:gridCol w:w="60"/>
        <w:gridCol w:w="107"/>
        <w:gridCol w:w="1428"/>
        <w:gridCol w:w="155"/>
        <w:gridCol w:w="60"/>
        <w:gridCol w:w="60"/>
        <w:gridCol w:w="980"/>
        <w:gridCol w:w="170"/>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without readily</w:t>
              <w:br/>
              <w:t>determinable fair</w:t>
              <w:br/>
              <w:t>values</w:t>
            </w:r>
          </w:p>
          <w:p>
            <w:pPr>
              <w:pStyle w:val="TableContents"/>
              <w:bidi w:val="0"/>
              <w:spacing w:before="0" w:after="0"/>
              <w:jc w:val="center"/>
              <w:rPr>
                <w:b/>
                <w:spacing w:val="0"/>
                <w:sz w:val="9"/>
              </w:rPr>
            </w:pPr>
            <w:r>
              <w:rPr>
                <w:b/>
                <w:spacing w:val="0"/>
                <w:sz w:val="9"/>
              </w:rPr>
              <w:t>(i)</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 readily</w:t>
              <w:br/>
              <w:t>determinable fair</w:t>
              <w:br/>
              <w:t>values</w:t>
            </w:r>
          </w:p>
          <w:p>
            <w:pPr>
              <w:pStyle w:val="TableContents"/>
              <w:bidi w:val="0"/>
              <w:spacing w:before="0" w:after="0"/>
              <w:jc w:val="center"/>
              <w:rPr>
                <w:b/>
                <w:spacing w:val="0"/>
                <w:sz w:val="9"/>
              </w:rPr>
            </w:pPr>
            <w:r>
              <w:rPr>
                <w:b/>
                <w:spacing w:val="0"/>
                <w:sz w:val="9"/>
              </w:rPr>
              <w:t>(ii)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Debt</w:t>
              <w:br/>
              <w:t>investments</w:t>
            </w:r>
          </w:p>
          <w:p>
            <w:pPr>
              <w:pStyle w:val="TableContents"/>
              <w:bidi w:val="0"/>
              <w:spacing w:before="0" w:after="0"/>
              <w:jc w:val="center"/>
              <w:rPr>
                <w:b/>
                <w:spacing w:val="0"/>
                <w:sz w:val="9"/>
              </w:rPr>
            </w:pPr>
            <w:r>
              <w:rPr>
                <w:b/>
                <w:spacing w:val="0"/>
                <w:sz w:val="9"/>
              </w:rPr>
              <w:t>(iii)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method</w:t>
              <w:br/>
              <w:t>investments</w:t>
            </w:r>
          </w:p>
          <w:p>
            <w:pPr>
              <w:pStyle w:val="TableContents"/>
              <w:bidi w:val="0"/>
              <w:spacing w:before="0" w:after="0"/>
              <w:jc w:val="center"/>
              <w:rPr>
                <w:b/>
                <w:spacing w:val="0"/>
                <w:sz w:val="9"/>
              </w:rPr>
            </w:pPr>
            <w:r>
              <w:rPr>
                <w:b/>
                <w:spacing w:val="0"/>
                <w:sz w:val="9"/>
              </w:rPr>
              <w:t>(iv)</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0"/>
              <w:jc w:val="left"/>
              <w:rPr>
                <w:spacing w:val="0"/>
              </w:rPr>
            </w:pPr>
            <w:r>
              <w:rPr>
                <w:spacing w:val="0"/>
              </w:rPr>
              <w:t> </w:t>
            </w:r>
          </w:p>
        </w:tc>
        <w:tc>
          <w:tcPr>
            <w:tcW w:w="1819" w:type="dxa"/>
            <w:tcBorders/>
            <w:shd w:fill="CCEEFF" w:val="clear"/>
            <w:vAlign w:val="center"/>
          </w:tcPr>
          <w:p>
            <w:pPr>
              <w:pStyle w:val="TableContents"/>
              <w:bidi w:val="0"/>
              <w:spacing w:before="0" w:after="0"/>
              <w:jc w:val="right"/>
              <w:rPr>
                <w:b/>
                <w:spacing w:val="0"/>
              </w:rPr>
            </w:pPr>
            <w:r>
              <w:rPr>
                <w:b/>
                <w:spacing w:val="0"/>
              </w:rPr>
              <w:t>173,817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0"/>
              <w:jc w:val="left"/>
              <w:rPr>
                <w:spacing w:val="0"/>
              </w:rPr>
            </w:pPr>
            <w:r>
              <w:rPr>
                <w:spacing w:val="0"/>
              </w:rPr>
              <w:t> </w:t>
            </w:r>
          </w:p>
        </w:tc>
        <w:tc>
          <w:tcPr>
            <w:tcW w:w="1812" w:type="dxa"/>
            <w:tcBorders/>
            <w:shd w:fill="CCEEFF" w:val="clear"/>
            <w:vAlign w:val="center"/>
          </w:tcPr>
          <w:p>
            <w:pPr>
              <w:pStyle w:val="TableContents"/>
              <w:bidi w:val="0"/>
              <w:spacing w:before="0" w:after="0"/>
              <w:jc w:val="right"/>
              <w:rPr>
                <w:b/>
                <w:spacing w:val="0"/>
              </w:rPr>
            </w:pPr>
            <w:r>
              <w:rPr>
                <w:b/>
                <w:spacing w:val="0"/>
              </w:rPr>
              <w:t>78,351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0"/>
              <w:jc w:val="left"/>
              <w:rPr>
                <w:spacing w:val="0"/>
              </w:rPr>
            </w:pPr>
            <w:r>
              <w:rPr>
                <w:spacing w:val="0"/>
              </w:rPr>
              <w:t> </w:t>
            </w:r>
          </w:p>
        </w:tc>
        <w:tc>
          <w:tcPr>
            <w:tcW w:w="1136" w:type="dxa"/>
            <w:tcBorders/>
            <w:shd w:fill="CCEEFF" w:val="clear"/>
            <w:vAlign w:val="center"/>
          </w:tcPr>
          <w:p>
            <w:pPr>
              <w:pStyle w:val="TableContents"/>
              <w:bidi w:val="0"/>
              <w:spacing w:before="0" w:after="0"/>
              <w:jc w:val="right"/>
              <w:rPr>
                <w:b/>
                <w:spacing w:val="0"/>
              </w:rPr>
            </w:pPr>
            <w:r>
              <w:rPr>
                <w:b/>
                <w:spacing w:val="0"/>
              </w:rPr>
              <w:t>1,034,204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1428" w:type="dxa"/>
            <w:tcBorders/>
            <w:shd w:fill="CCEEFF" w:val="clear"/>
            <w:vAlign w:val="center"/>
          </w:tcPr>
          <w:p>
            <w:pPr>
              <w:pStyle w:val="TableContents"/>
              <w:bidi w:val="0"/>
              <w:spacing w:before="0" w:after="0"/>
              <w:jc w:val="right"/>
              <w:rPr>
                <w:b/>
                <w:spacing w:val="0"/>
              </w:rPr>
            </w:pPr>
            <w:r>
              <w:rPr>
                <w:b/>
                <w:spacing w:val="0"/>
              </w:rPr>
              <w:t>676,822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1,963,194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80,250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103,016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183,266</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Disposal</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(82,357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(82,357</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Maturities of retained asset-backed notes and </w:t>
              <w:br/>
              <w:t>securities</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(27,577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(27,577</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gain</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114,316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74,657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311,560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500,533</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p>
            <w:pPr>
              <w:pStyle w:val="TableContents"/>
              <w:bidi w:val="0"/>
              <w:spacing w:before="0" w:after="0"/>
              <w:jc w:val="left"/>
              <w:rPr>
                <w:rFonts w:ascii="Times New Roman" w:hAnsi="Times New Roman"/>
                <w:sz w:val="12"/>
              </w:rPr>
            </w:pPr>
            <w:r>
              <w:rPr>
                <w:rFonts w:ascii="Times New Roman" w:hAnsi="Times New Roman"/>
                <w:sz w:val="12"/>
              </w:rPr>
              <w:t>(iv)</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30,928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30,928</w:t>
            </w:r>
          </w:p>
        </w:tc>
        <w:tc>
          <w:tcPr>
            <w:tcW w:w="17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812" w:type="dxa"/>
            <w:tcBorders/>
            <w:shd w:fill="CCEEFF" w:val="clear"/>
            <w:vAlign w:val="center"/>
          </w:tcPr>
          <w:p>
            <w:pPr>
              <w:pStyle w:val="TableContents"/>
              <w:bidi w:val="0"/>
              <w:spacing w:before="0" w:after="283"/>
              <w:jc w:val="right"/>
              <w:rPr/>
            </w:pPr>
            <w:r>
              <w:rPr/>
              <w:t>(1,636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(26,807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(16,507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(44,950</w:t>
            </w:r>
          </w:p>
        </w:tc>
        <w:tc>
          <w:tcPr>
            <w:tcW w:w="17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18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single" w:sz="2" w:space="1" w:color="000000"/>
              </w:rPr>
            </w:pPr>
            <w:r>
              <w:rPr>
                <w:bdr w:val="single" w:sz="2" w:space="1" w:color="000000"/>
              </w:rPr>
              <w:t> </w:t>
            </w:r>
          </w:p>
        </w:tc>
        <w:tc>
          <w:tcPr>
            <w:tcW w:w="14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0"/>
              <w:jc w:val="right"/>
              <w:rPr>
                <w:b/>
              </w:rPr>
            </w:pPr>
            <w:r>
              <w:rPr>
                <w:b/>
              </w:rPr>
              <w:t>288,133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812" w:type="dxa"/>
            <w:tcBorders/>
            <w:vAlign w:val="center"/>
          </w:tcPr>
          <w:p>
            <w:pPr>
              <w:pStyle w:val="TableContents"/>
              <w:bidi w:val="0"/>
              <w:spacing w:before="0" w:after="0"/>
              <w:jc w:val="right"/>
              <w:rPr>
                <w:b/>
              </w:rPr>
            </w:pPr>
            <w:r>
              <w:rPr>
                <w:b/>
              </w:rPr>
              <w:t>69,015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0"/>
              <w:jc w:val="right"/>
              <w:rPr>
                <w:b/>
              </w:rPr>
            </w:pPr>
            <w:r>
              <w:rPr>
                <w:b/>
              </w:rPr>
              <w:t>1,371,630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0"/>
              <w:jc w:val="right"/>
              <w:rPr>
                <w:b/>
              </w:rPr>
            </w:pPr>
            <w:r>
              <w:rPr>
                <w:b/>
              </w:rPr>
              <w:t>794,259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b/>
              </w:rPr>
            </w:pPr>
            <w:r>
              <w:rPr>
                <w:b/>
              </w:rPr>
              <w:t>2,523,037</w:t>
            </w:r>
          </w:p>
        </w:tc>
        <w:tc>
          <w:tcPr>
            <w:tcW w:w="17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8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bdr w:val="double" w:sz="6" w:space="1" w:color="000000"/>
              </w:rPr>
            </w:pPr>
            <w:r>
              <w:rPr>
                <w:bdr w:val="double" w:sz="6" w:space="1" w:color="000000"/>
              </w:rPr>
              <w:t> </w:t>
            </w:r>
          </w:p>
        </w:tc>
        <w:tc>
          <w:tcPr>
            <w:tcW w:w="142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 Equity investments without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Group acquired a minority common equity interest in a company, engaged in manufacturing of batteries for new energy vehicles for a total cash consideration of RMB190,000. The equity interests in common stock do not have readily determinable fair values because the investee is a privately held company. Accordingly, the Group elected to use the measurement alternative under ASC 321 to measure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2022, the Group acquired a minority preferred equity interest in a company engaged in research, development, production and sales of batteries for new energy vehicles for a total cash consideration of RMB50,000, which were redeemable merely by the passage of time at the option of the Group as a holder. Accordingly, the Group elected to account for this investment under the fair value option model. In May 2023, upon completion of the modification in the investee’s shareholding structure, the preferred shares held by the Group were converted into common shares, which do not have readily determinable fair values because the investee is a privately held company. Accordingly, the Group reclassified this investment from debt securities to equity securities at the fair value of RMB57,832 upon the modification, and elected to use the measurement alternative under ASC 321 to measure this investment. The difference in the carrying value and the fair value of this investment immediately before the modification was immaterial. </w:t>
      </w:r>
    </w:p>
    <w:p>
      <w:pPr>
        <w:pStyle w:val="TextBody"/>
        <w:bidi w:val="0"/>
        <w:spacing w:before="120" w:after="0"/>
        <w:jc w:val="left"/>
        <w:rPr>
          <w:rFonts w:ascii="Times New Roman" w:hAnsi="Times New Roman"/>
          <w:sz w:val="20"/>
        </w:rPr>
      </w:pPr>
      <w:r>
        <w:rPr>
          <w:rFonts w:ascii="Times New Roman" w:hAnsi="Times New Roman"/>
          <w:sz w:val="20"/>
        </w:rPr>
        <w:t xml:space="preserve">For equity investments accounted for using the measurement alternative as of December 31, 2024 and 2025, the Company recorded cumulative downward adjustments due to impairments of RMB106,805 and nil and cumulative upward adjustments of RMB31,790 and RMB39,301. </w:t>
      </w:r>
    </w:p>
    <w:p>
      <w:pPr>
        <w:pStyle w:val="TextBody"/>
        <w:bidi w:val="0"/>
        <w:spacing w:before="120" w:after="0"/>
        <w:jc w:val="left"/>
        <w:rPr>
          <w:rFonts w:ascii="Times New Roman" w:hAnsi="Times New Roman"/>
          <w:sz w:val="20"/>
        </w:rPr>
      </w:pPr>
      <w:r>
        <w:rPr>
          <w:rFonts w:ascii="Times New Roman" w:hAnsi="Times New Roman"/>
          <w:sz w:val="20"/>
        </w:rPr>
        <w:t xml:space="preserve">For these investments, the Company recorded downward adjustments of RMB89,933, RMB24,189 and nil, respectively, and upward adjustments of RMB39,107, nil and RMB114,316, respectively, in earnings during the years ended December 31, 2023, 2024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(ii) Equity investments with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the Group prepaid RMB50,000 as a subscription for a minority equity interest in common shares of a company engaged in research, development, production and sales of semiconductors, which was converted into common shares in January 2022. During the year ended December 31, 2025, the Group disposed of all common shares of this company for total proceeds of RMB53,786, resulting in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an</w:t>
      </w:r>
    </w:p>
    <w:p>
      <w:pPr>
        <w:pStyle w:val="TextBody"/>
        <w:bidi w:val="0"/>
        <w:spacing w:before="120" w:after="0"/>
        <w:jc w:val="left"/>
        <w:rPr>
          <w:rFonts w:ascii="Times New Roman" w:hAnsi="Times New Roman"/>
          <w:sz w:val="20"/>
        </w:rPr>
      </w:pPr>
      <w:r>
        <w:rPr>
          <w:rFonts w:ascii="Times New Roman" w:hAnsi="Times New Roman"/>
          <w:sz w:val="20"/>
        </w:rPr>
        <w:t xml:space="preserve">investment gain of RMB23,018, recorded in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the Group paid HK$156,982 (equivalent to RMB141,981 as of the injection date) to acquire a minority equity interest in common shares of a company engaged in research, development, production and sales of batteries for new energy vehicles. During the year ended December 31, 2025, the Group disposed partial of common shares of this company for total proceeds of RMB28,571, resulting in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an</w:t>
      </w:r>
    </w:p>
    <w:p>
      <w:pPr>
        <w:pStyle w:val="TextBody"/>
        <w:bidi w:val="0"/>
        <w:spacing w:before="120" w:after="0"/>
        <w:jc w:val="left"/>
        <w:rPr>
          <w:rFonts w:ascii="Times New Roman" w:hAnsi="Times New Roman"/>
          <w:sz w:val="20"/>
        </w:rPr>
      </w:pPr>
      <w:r>
        <w:rPr>
          <w:rFonts w:ascii="Times New Roman" w:hAnsi="Times New Roman"/>
          <w:sz w:val="20"/>
        </w:rPr>
        <w:t xml:space="preserve">investment gain of RMB16,676, recorded in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minority equity interests in common shares have readily determinable fair values because the investees are listed companies and the Group does not have the ability to exercise significant influence over these investments. Accordingly, the Group accounted for them at fair value based on the quoted prices in active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(iii) Debt investments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Investment in HT Flying Car Inc. (“Huitian”) </w:t>
      </w:r>
    </w:p>
    <w:p>
      <w:pPr>
        <w:pStyle w:val="TextBody"/>
        <w:bidi w:val="0"/>
        <w:spacing w:before="120" w:after="0"/>
        <w:jc w:val="left"/>
        <w:rPr>
          <w:rFonts w:ascii="Times New Roman" w:hAnsi="Times New Roman"/>
          <w:sz w:val="20"/>
        </w:rPr>
      </w:pPr>
      <w:r>
        <w:rPr>
          <w:rFonts w:ascii="Times New Roman" w:hAnsi="Times New Roman"/>
          <w:sz w:val="20"/>
        </w:rPr>
        <w:t xml:space="preserve">Huitian is a company incorporated in the Cayman Islands with limited liability and is mainly engaged in research, development, production and sales of flying vehicles. In January 2021, the Group acquired minority preferred equity interests of Huitian (“Huitian’s Series Angel preferred shares”), a related party of the Group, for a total consideration of RMB24,551 during Huitian’s Angel round of fund raising. The equity interests were not considered to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in-substance</w:t>
      </w:r>
    </w:p>
    <w:p>
      <w:pPr>
        <w:pStyle w:val="TextBody"/>
        <w:bidi w:val="0"/>
        <w:spacing w:before="120" w:after="0"/>
        <w:jc w:val="left"/>
        <w:rPr>
          <w:rFonts w:ascii="Times New Roman" w:hAnsi="Times New Roman"/>
          <w:sz w:val="20"/>
        </w:rPr>
      </w:pPr>
      <w:r>
        <w:rPr>
          <w:rFonts w:ascii="Times New Roman" w:hAnsi="Times New Roman"/>
          <w:sz w:val="20"/>
        </w:rPr>
        <w:t xml:space="preserve">common stock as the preferred stock has substantive liquidation preference over the investee’s common stock. Huitian’s Series Angel preferred shares investment are considered equity securities that do not have readily determinable fair values given that it is a privately held company. Accordingly, upon the acquisition of the minority preferred equity interests of Huitian, the Group elected to use the measurement alternative under ASC 321 to measure such investment. </w:t>
      </w:r>
    </w:p>
    <w:p>
      <w:pPr>
        <w:pStyle w:val="TextBody"/>
        <w:bidi w:val="0"/>
        <w:spacing w:before="120" w:after="0"/>
        <w:jc w:val="left"/>
        <w:rPr>
          <w:rFonts w:ascii="Times New Roman" w:hAnsi="Times New Roman"/>
          <w:sz w:val="20"/>
        </w:rPr>
      </w:pPr>
      <w:r>
        <w:rPr>
          <w:rFonts w:ascii="Times New Roman" w:hAnsi="Times New Roman"/>
          <w:sz w:val="20"/>
        </w:rPr>
        <w:t>In October 2021, the Group further invested US$90,000, equivalent to RMB574,146 as of the injection date, into Huitian during Huitian’s A round of fund raising. Among this investment, US$70,000 was in form of preferred shares (“Huitian’s Series A preferred shares”) and US$20,000 was in form of a convertible bond. Concurrently, Huitian’s Series Angel preferred shares previously acquired by the Group in January 2021 were modified to align with the terms of the newly invested Huitian’s Series A preferred shares. The Group concluded that both Huitian’s Series Angel and Series A preferred shares investment are debt securities since Huitian’s Series Angel (with now modified terms) and Series A preferred shares held by the Group are redeemable merely by the passage of time and redeemable at the option</w:t>
      </w:r>
    </w:p>
    <w:p>
      <w:pPr>
        <w:pStyle w:val="TextBody"/>
        <w:bidi w:val="0"/>
        <w:spacing w:before="120" w:after="0"/>
        <w:jc w:val="left"/>
        <w:rPr>
          <w:rFonts w:ascii="Times New Roman" w:hAnsi="Times New Roman"/>
          <w:sz w:val="20"/>
        </w:rPr>
      </w:pPr>
      <w:r>
        <w:rPr>
          <w:rFonts w:ascii="Times New Roman" w:hAnsi="Times New Roman"/>
          <w:sz w:val="20"/>
        </w:rPr>
        <w:t xml:space="preserve">of the Group. </w:t>
      </w:r>
    </w:p>
    <w:p>
      <w:pPr>
        <w:pStyle w:val="TextBody"/>
        <w:bidi w:val="0"/>
        <w:spacing w:before="120" w:after="0"/>
        <w:jc w:val="left"/>
        <w:rPr>
          <w:rFonts w:ascii="Times New Roman" w:hAnsi="Times New Roman"/>
          <w:sz w:val="20"/>
        </w:rPr>
      </w:pPr>
      <w:r>
        <w:rPr>
          <w:rFonts w:ascii="Times New Roman" w:hAnsi="Times New Roman"/>
          <w:sz w:val="20"/>
        </w:rPr>
        <w:t xml:space="preserve">In anticipation of the change in accounting model applicable to Huitian’s Series Angel preferred shares as a result of the modification, the Group opted to change its measurement accounting policy relating to Huitian’s Series Angel preferred shares as permitted by ASC 321, and elected to measure the original Huitian’s Series Angel preferred shares at fair value immediately before the modification (discussed in the preceding paragraph). The difference of RMB591,506 between the carrying value and the fair value of Huitian’s Series Angel preferred shares immediately before the modification was recognized in earnings. The Group then reclassified Huitian’s Series Angel preferred shares from equity securities to debt securities upon the modification. The modified Huitian’s Series Angel preferred shares investment together with the new Series A preferred shares investment will be measured on an ongoing basis at fair value with changes recognized in earnings. In addition, the convertible bond (acquired in October 2021) held by the Group in Huitian was also accounted for under the fair value option model. </w:t>
      </w:r>
    </w:p>
    <w:p>
      <w:pPr>
        <w:pStyle w:val="TextBody"/>
        <w:bidi w:val="0"/>
        <w:spacing w:before="120" w:after="0"/>
        <w:jc w:val="left"/>
        <w:rPr>
          <w:rFonts w:ascii="Times New Roman" w:hAnsi="Times New Roman"/>
          <w:sz w:val="20"/>
        </w:rPr>
      </w:pPr>
      <w:r>
        <w:rPr>
          <w:rFonts w:ascii="Times New Roman" w:hAnsi="Times New Roman"/>
          <w:sz w:val="20"/>
        </w:rPr>
        <w:t>In December 2024, the convertible bond with a principal amount of US$20,000 and accrued interest amount of US$4,800 have been fully converted into Series A preferred shares in accordance with the relevant agreements.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preferred shares held by the Group in connection with investment in Huitian are debt securities as they become redeemable merely by the passage of time and are redeemable at the option of the Group as a holder. Accordingly, the Group elected to account for these investments under the fair value option model. </w:t>
      </w:r>
    </w:p>
    <w:p>
      <w:pPr>
        <w:pStyle w:val="TextBody"/>
        <w:bidi w:val="0"/>
        <w:spacing w:before="0" w:after="0"/>
        <w:ind w:left="0" w:right="0" w:hanging="0"/>
        <w:jc w:val="left"/>
        <w:rPr>
          <w:sz w:val="16"/>
        </w:rPr>
      </w:pPr>
      <w:r>
        <w:rPr>
          <w:sz w:val="16"/>
        </w:rPr>
      </w:r>
    </w:p>
    <w:p>
      <w:pPr>
        <w:pStyle w:val="TextBody"/>
        <w:bidi w:val="0"/>
        <w:spacing w:before="0" w:after="0"/>
        <w:jc w:val="center"/>
        <w:rPr>
          <w:rFonts w:ascii="Times New Roman" w:hAnsi="Times New Roman"/>
          <w:sz w:val="20"/>
        </w:rPr>
      </w:pPr>
      <w:r>
        <w:rPr>
          <w:rFonts w:ascii="Times New Roman" w:hAnsi="Times New Roman"/>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(iii) Debt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Retained asset-backed notes and securities </w:t>
      </w:r>
    </w:p>
    <w:p>
      <w:pPr>
        <w:pStyle w:val="TextBody"/>
        <w:bidi w:val="0"/>
        <w:spacing w:before="120" w:after="0"/>
        <w:jc w:val="left"/>
        <w:rPr>
          <w:rFonts w:ascii="Times New Roman" w:hAnsi="Times New Roman"/>
          <w:sz w:val="20"/>
        </w:rPr>
      </w:pPr>
      <w:r>
        <w:rPr>
          <w:rFonts w:ascii="Times New Roman" w:hAnsi="Times New Roman"/>
          <w:sz w:val="20"/>
        </w:rPr>
        <w:t>In March and September 2025, the Group completed two asset-backed securitization transactions in relation to its auto financing receivables, issuing notes and securities of RMB895,000 and RMB710,000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respectively. Under these arrangements, the Group transferred the underlying securitized auto financing receivables to securitization vehicles. The Group provides management, administration and collection services (at market rates) on the transferred financial assets, but retains an insignificant economic interest in the securitization vehicles. As a result, the Group does not have control over the securitization vehicles and derecognized the transferred receivables. The Group classified the retained asset-backed notes and securities as debt securities.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Long-term Investments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(iv) 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In March 2022, the Company and other third party investors jointly set up an offshore investment fund (“Fund”), named Rockets Capital L.P., for the purpose of making investments in companies and businesses engaging in high technology sectors. The Company subscribed for a commitment of US$150,000 to the Fund and invested consideration of US$90,055 (equivalent to RMB600,300 as of the injection date) and US$104,620 (equivalent to RMB703,316 as of the injection date) into the Fund as of December 31, 2024 and 2025, respectively. The Company held a 60.7% financial interests in the Fund as a limited partner while the other 39.3% financial interests were held by other third party investors as of December 31, 2024 and 2025.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assessment under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810-10-15-14,</w:t>
      </w:r>
    </w:p>
    <w:p>
      <w:pPr>
        <w:pStyle w:val="TextBody"/>
        <w:bidi w:val="0"/>
        <w:spacing w:before="120" w:after="0"/>
        <w:jc w:val="left"/>
        <w:rPr>
          <w:rFonts w:ascii="Times New Roman" w:hAnsi="Times New Roman"/>
          <w:sz w:val="20"/>
        </w:rPr>
      </w:pPr>
      <w:r>
        <w:rPr>
          <w:rFonts w:ascii="Times New Roman" w:hAnsi="Times New Roman"/>
          <w:sz w:val="20"/>
        </w:rPr>
        <w:t xml:space="preserve">the investment fund (a limited partnership) is considered to be a VIE for accounting purposes. The Company is not considered the primary beneficiary of the investment due to the fact that the Company does not possess the power to direct activities of the Fund that would mostly impact its economics performance. As a result, the Company accounts for its 60.7% financial interests in the Fund using the equity method of accounting pursuant to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323-30</w:t>
      </w:r>
    </w:p>
    <w:p>
      <w:pPr>
        <w:pStyle w:val="TextBody"/>
        <w:bidi w:val="0"/>
        <w:spacing w:before="120" w:after="0"/>
        <w:jc w:val="left"/>
        <w:rPr>
          <w:rFonts w:ascii="Times New Roman" w:hAnsi="Times New Roman"/>
          <w:sz w:val="20"/>
        </w:rPr>
      </w:pPr>
      <w:r>
        <w:rPr>
          <w:rFonts w:ascii="Times New Roman" w:hAnsi="Times New Roman"/>
          <w:sz w:val="20"/>
        </w:rPr>
        <w:t xml:space="preserve">considering that the Company has significant influence over the operating and investing activities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14. Other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Non-current</w:t>
      </w:r>
    </w:p>
    <w:p>
      <w:pPr>
        <w:pStyle w:val="TextBody"/>
        <w:bidi w:val="0"/>
        <w:spacing w:before="360" w:after="0"/>
        <w:jc w:val="left"/>
        <w:rPr>
          <w:rFonts w:ascii="Times New Roman" w:hAnsi="Times New Roman"/>
          <w:b/>
          <w:sz w:val="20"/>
        </w:rPr>
      </w:pPr>
      <w:r>
        <w:rPr>
          <w:rFonts w:ascii="Times New Roman" w:hAnsi="Times New Roman"/>
          <w:b/>
          <w:sz w:val="20"/>
        </w:rPr>
        <w:t xml:space="preserve">Assets </w:t>
      </w:r>
    </w:p>
    <w:p>
      <w:pPr>
        <w:pStyle w:val="TextBody"/>
        <w:bidi w:val="0"/>
        <w:spacing w:before="120" w:after="0"/>
        <w:jc w:val="left"/>
        <w:rPr>
          <w:rFonts w:ascii="Times New Roman" w:hAnsi="Times New Roman"/>
          <w:sz w:val="20"/>
        </w:rPr>
      </w:pPr>
      <w:r>
        <w:rPr>
          <w:rFonts w:ascii="Times New Roman" w:hAnsi="Times New Roman"/>
          <w:sz w:val="20"/>
        </w:rPr>
        <w:t xml:space="preserve">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consisted of the following: </w:t>
      </w:r>
    </w:p>
    <w:p>
      <w:pPr>
        <w:pStyle w:val="TextBody"/>
        <w:bidi w:val="0"/>
        <w:spacing w:before="0" w:after="0"/>
        <w:jc w:val="left"/>
        <w:rPr/>
      </w:pPr>
      <w:r>
        <w:rPr/>
        <w:t> </w:t>
      </w:r>
    </w:p>
    <w:tbl>
      <w:tblPr>
        <w:tblW w:w="8859" w:type="dxa"/>
        <w:jc w:val="left"/>
        <w:tblInd w:w="0" w:type="dxa"/>
        <w:tblLayout w:type="fixed"/>
        <w:tblCellMar>
          <w:top w:w="0" w:type="dxa"/>
          <w:left w:w="0" w:type="dxa"/>
          <w:bottom w:w="0" w:type="dxa"/>
          <w:right w:w="0" w:type="dxa"/>
        </w:tblCellMar>
      </w:tblPr>
      <w:tblGrid>
        <w:gridCol w:w="6665"/>
        <w:gridCol w:w="120"/>
        <w:gridCol w:w="63"/>
        <w:gridCol w:w="842"/>
        <w:gridCol w:w="63"/>
        <w:gridCol w:w="126"/>
        <w:gridCol w:w="63"/>
        <w:gridCol w:w="842"/>
        <w:gridCol w:w="75"/>
      </w:tblGrid>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receivables, non - current portion, net (Note 18)</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204,435</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194,911</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112,523</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128,566</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 (Note 5)</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34,106</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34,106</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for purchase of property and equipment</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5,649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3,324</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Non-current portion of prepayments for advertising and technical support services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36,850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49,720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68,737</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842"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84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443,283</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429,644</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842"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84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Deposits primarily consist of deposits for offices and retail and service centers whose lease expiration dates are not within one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15. Accruals and Other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Accruals and other liabilities consisted of the following: </w:t>
      </w:r>
    </w:p>
    <w:p>
      <w:pPr>
        <w:pStyle w:val="TextBody"/>
        <w:bidi w:val="0"/>
        <w:spacing w:before="0" w:after="0"/>
        <w:jc w:val="left"/>
        <w:rPr/>
      </w:pPr>
      <w:r>
        <w:rPr/>
        <w:t> </w:t>
      </w:r>
    </w:p>
    <w:tbl>
      <w:tblPr>
        <w:tblW w:w="7080" w:type="dxa"/>
        <w:jc w:val="left"/>
        <w:tblInd w:w="0" w:type="dxa"/>
        <w:tblLayout w:type="fixed"/>
        <w:tblCellMar>
          <w:top w:w="0" w:type="dxa"/>
          <w:left w:w="0" w:type="dxa"/>
          <w:bottom w:w="0" w:type="dxa"/>
          <w:right w:w="0" w:type="dxa"/>
        </w:tblCellMar>
      </w:tblPr>
      <w:tblGrid>
        <w:gridCol w:w="4505"/>
        <w:gridCol w:w="120"/>
        <w:gridCol w:w="60"/>
        <w:gridCol w:w="980"/>
        <w:gridCol w:w="60"/>
        <w:gridCol w:w="120"/>
        <w:gridCol w:w="60"/>
        <w:gridCol w:w="1100"/>
        <w:gridCol w:w="75"/>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Payables for 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1,799,882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2,282,932</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958,607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1,848,156</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 compensation payables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1,186,036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1,605,933</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Payables for R&amp;D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1,069,926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1,199,382</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from a third party investor(Note 17(i))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1,189,973</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Payables for marketing events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447,839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741,166</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cost of purchase commitments(i)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621,419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727,091</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 from third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549,487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715,522</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389,290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682,960</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payables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419,460</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 from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300,836</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Refundable deposit from customers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172,762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179,297</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payables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8,793</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601,834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637,197</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8,650,636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12,538,698</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Accrued expenses primarily included receipts of goods and services that the Group had not been invoiced yet.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to cessation of production and upgrades of certain models, the Group recognized net losses of RMB285,519, RMB401,743 and RMB191,831 on purchase commitments in consolidated statements of comprehensive loss for the years ended December 31, 2023, 2024 and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16. Borrowings </w:t>
      </w:r>
    </w:p>
    <w:p>
      <w:pPr>
        <w:pStyle w:val="TextBody"/>
        <w:bidi w:val="0"/>
        <w:spacing w:before="120" w:after="0"/>
        <w:jc w:val="left"/>
        <w:rPr>
          <w:rFonts w:ascii="Times New Roman" w:hAnsi="Times New Roman"/>
          <w:sz w:val="20"/>
        </w:rPr>
      </w:pPr>
      <w:r>
        <w:rPr>
          <w:rFonts w:ascii="Times New Roman" w:hAnsi="Times New Roman"/>
          <w:sz w:val="20"/>
        </w:rPr>
        <w:t xml:space="preserve">Borrowings consisted of the following: </w:t>
      </w:r>
    </w:p>
    <w:p>
      <w:pPr>
        <w:pStyle w:val="TextBody"/>
        <w:bidi w:val="0"/>
        <w:spacing w:before="0" w:after="0"/>
        <w:jc w:val="left"/>
        <w:rPr/>
      </w:pPr>
      <w:r>
        <w:rPr/>
        <w:t> </w:t>
      </w:r>
    </w:p>
    <w:tbl>
      <w:tblPr>
        <w:tblW w:w="5910" w:type="dxa"/>
        <w:jc w:val="left"/>
        <w:tblInd w:w="0" w:type="dxa"/>
        <w:tblLayout w:type="fixed"/>
        <w:tblCellMar>
          <w:top w:w="0" w:type="dxa"/>
          <w:left w:w="0" w:type="dxa"/>
          <w:bottom w:w="0" w:type="dxa"/>
          <w:right w:w="0" w:type="dxa"/>
        </w:tblCellMar>
      </w:tblPr>
      <w:tblGrid>
        <w:gridCol w:w="3215"/>
        <w:gridCol w:w="120"/>
        <w:gridCol w:w="60"/>
        <w:gridCol w:w="1100"/>
        <w:gridCol w:w="60"/>
        <w:gridCol w:w="120"/>
        <w:gridCol w:w="60"/>
        <w:gridCol w:w="1100"/>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Bank loans</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4,609,123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4,282,000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 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Bank loans</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1,188,998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1,569,033</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587,470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268,917</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Asset-backed notes</w:t>
            </w:r>
          </w:p>
          <w:p>
            <w:pPr>
              <w:pStyle w:val="TableContents"/>
              <w:bidi w:val="0"/>
              <w:spacing w:before="0" w:after="0"/>
              <w:jc w:val="left"/>
              <w:rPr>
                <w:rFonts w:ascii="Times New Roman" w:hAnsi="Times New Roman"/>
                <w:sz w:val="12"/>
              </w:rPr>
            </w:pPr>
            <w:r>
              <w:rPr>
                <w:rFonts w:ascii="Times New Roman" w:hAnsi="Times New Roman"/>
                <w:sz w:val="12"/>
              </w:rPr>
              <w:t>(iv)</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6,467,736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6,119,950</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Bank loans</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5,431,711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6,586,490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232,807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2,375</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5,664,518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6,588,865</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12,132,254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12,708,815</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Short-term bank loans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Group’s short-term borrowings from banks in the PRC amounted to RMB 4,609,123 in aggregate. The effective interest rate of these borrowings was 2.24% per annum. As of December 31, 2025, short-term borrowings from banks in the PRC amounted to RMB4,282,000 in aggregate. The effective interest rate of these borrowings was 2.05%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16. Borrowings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Long-term bank loans: </w:t>
      </w:r>
    </w:p>
    <w:p>
      <w:pPr>
        <w:pStyle w:val="TextBody"/>
        <w:bidi w:val="0"/>
        <w:spacing w:before="0" w:after="0"/>
        <w:jc w:val="left"/>
        <w:rPr/>
      </w:pPr>
      <w:r>
        <w:rPr/>
        <w:t> </w:t>
      </w:r>
    </w:p>
    <w:tbl>
      <w:tblPr>
        <w:tblW w:w="12525" w:type="dxa"/>
        <w:jc w:val="left"/>
        <w:tblInd w:w="0" w:type="dxa"/>
        <w:tblLayout w:type="fixed"/>
        <w:tblCellMar>
          <w:top w:w="0" w:type="dxa"/>
          <w:left w:w="0" w:type="dxa"/>
          <w:bottom w:w="0" w:type="dxa"/>
          <w:right w:w="0" w:type="dxa"/>
        </w:tblCellMar>
      </w:tblPr>
      <w:tblGrid>
        <w:gridCol w:w="440"/>
        <w:gridCol w:w="120"/>
        <w:gridCol w:w="1295"/>
        <w:gridCol w:w="120"/>
        <w:gridCol w:w="67"/>
        <w:gridCol w:w="1108"/>
        <w:gridCol w:w="60"/>
        <w:gridCol w:w="120"/>
        <w:gridCol w:w="85"/>
        <w:gridCol w:w="1390"/>
        <w:gridCol w:w="60"/>
        <w:gridCol w:w="120"/>
        <w:gridCol w:w="60"/>
        <w:gridCol w:w="980"/>
        <w:gridCol w:w="60"/>
        <w:gridCol w:w="120"/>
        <w:gridCol w:w="105"/>
        <w:gridCol w:w="770"/>
        <w:gridCol w:w="275"/>
        <w:gridCol w:w="60"/>
        <w:gridCol w:w="67"/>
        <w:gridCol w:w="1108"/>
        <w:gridCol w:w="60"/>
        <w:gridCol w:w="120"/>
        <w:gridCol w:w="68"/>
        <w:gridCol w:w="1122"/>
        <w:gridCol w:w="60"/>
        <w:gridCol w:w="120"/>
        <w:gridCol w:w="60"/>
        <w:gridCol w:w="980"/>
        <w:gridCol w:w="60"/>
        <w:gridCol w:w="120"/>
        <w:gridCol w:w="105"/>
        <w:gridCol w:w="770"/>
        <w:gridCol w:w="290"/>
      </w:tblGrid>
      <w:tr>
        <w:trPr/>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5" w:type="dxa"/>
            <w:gridSpan w:val="14"/>
            <w:tcBorders>
              <w:bottom w:val="single" w:sz="8" w:space="0" w:color="000000"/>
            </w:tcBorders>
            <w:tcMar>
              <w:bottom w:w="28" w:type="dxa"/>
            </w:tcMar>
            <w:vAlign w:val="center"/>
          </w:tcPr>
          <w:p>
            <w:pPr>
              <w:pStyle w:val="TableContents"/>
              <w:bidi w:val="0"/>
              <w:spacing w:before="0" w:after="283"/>
              <w:jc w:val="center"/>
              <w:rPr/>
            </w:pPr>
            <w:r>
              <w:rPr/>
              <w:t>As of December 31,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0" w:type="dxa"/>
            <w:gridSpan w:val="14"/>
            <w:tcBorders>
              <w:bottom w:val="single" w:sz="8" w:space="0" w:color="000000"/>
            </w:tcBorders>
            <w:tcMar>
              <w:bottom w:w="28" w:type="dxa"/>
            </w:tcMar>
            <w:vAlign w:val="center"/>
          </w:tcPr>
          <w:p>
            <w:pPr>
              <w:pStyle w:val="TableContents"/>
              <w:bidi w:val="0"/>
              <w:spacing w:before="0" w:after="283"/>
              <w:jc w:val="center"/>
              <w:rPr/>
            </w:pPr>
            <w:r>
              <w:rPr/>
              <w:t>As of December 31, 2025</w:t>
            </w:r>
          </w:p>
        </w:tc>
        <w:tc>
          <w:tcPr>
            <w:tcW w:w="29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center"/>
              <w:rPr/>
            </w:pPr>
            <w:r>
              <w:rPr/>
              <w:t>Ref.</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Outstanding</w:t>
              <w:br/>
              <w:t>loan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pPr>
            <w:r>
              <w:rPr/>
              <w:t>Current portion</w:t>
              <w:br/>
              <w:t>according to</w:t>
              <w:br/>
              <w:t>the repayment</w:t>
              <w:br/>
              <w:t>schedule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Long-term</w:t>
              <w:br/>
              <w:t>portion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Effective</w:t>
              <w:b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Outstanding</w:t>
              <w:br/>
              <w:t>loan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Current</w:t>
              <w:br/>
              <w:t>portion</w:t>
              <w:br/>
              <w:t>according to</w:t>
              <w:br/>
              <w:t>the</w:t>
              <w:br/>
              <w:t>repayment</w:t>
              <w:br/>
              <w:t>schedule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Long-term</w:t>
              <w:br/>
              <w:t>portion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Effective</w:t>
              <w:br/>
              <w:t>interest</w:t>
              <w:br/>
              <w:t>rate</w:t>
            </w:r>
          </w:p>
        </w:tc>
        <w:tc>
          <w:tcPr>
            <w:tcW w:w="29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jc w:val="left"/>
              <w:rPr/>
            </w:pPr>
            <w:r>
              <w:rPr/>
              <w:t>1</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Zhaoqing Xiaopeng</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1,491,800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234,800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505,000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3.63</w:t>
            </w:r>
          </w:p>
        </w:tc>
        <w:tc>
          <w:tcPr>
            <w:tcW w:w="290" w:type="dxa"/>
            <w:tcBorders/>
            <w:shd w:fill="CCEEFF" w:val="clear"/>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Zhaoqing Xiaopeng New Energy</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1,241,825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743,325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1,284,200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527,792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756,408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3.26</w:t>
            </w:r>
          </w:p>
        </w:tc>
        <w:tc>
          <w:tcPr>
            <w:tcW w:w="29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jc w:val="left"/>
              <w:rPr/>
            </w:pPr>
            <w:r>
              <w:rPr/>
              <w:t>3</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Guangzhou Xiaopeng Motors Financing Lease Co., Ltd.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3.80</w:t>
            </w:r>
          </w:p>
        </w:tc>
        <w:tc>
          <w:tcPr>
            <w:tcW w:w="290" w:type="dxa"/>
            <w:tcBorders/>
            <w:shd w:fill="CCEEFF" w:val="clear"/>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4</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Guangdong Xiaopeng Motors Technology Group Co., Ltd.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2.25</w:t>
            </w:r>
          </w:p>
        </w:tc>
        <w:tc>
          <w:tcPr>
            <w:tcW w:w="29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jc w:val="left"/>
              <w:rPr/>
            </w:pPr>
            <w:r>
              <w:rPr/>
              <w:t>5</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Wuhan Xiaopeng</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2,077,006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174,906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1,902,100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2,099,658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222,571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1,877,087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3.15</w:t>
            </w:r>
          </w:p>
        </w:tc>
        <w:tc>
          <w:tcPr>
            <w:tcW w:w="290" w:type="dxa"/>
            <w:tcBorders/>
            <w:shd w:fill="CCEEFF" w:val="clear"/>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6</w:t>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Guangzhou Pengyue Automobile Development Co., Ltd.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323,720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6,467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317,253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865,806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17,670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848,136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3.08</w:t>
            </w:r>
          </w:p>
        </w:tc>
        <w:tc>
          <w:tcPr>
            <w:tcW w:w="29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283"/>
              <w:jc w:val="left"/>
              <w:rPr/>
            </w:pPr>
            <w:r>
              <w:rPr/>
              <w:t>7</w:t>
            </w:r>
          </w:p>
        </w:tc>
        <w:tc>
          <w:tcPr>
            <w:tcW w:w="12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Guangzhou Xiaopeng New Energy Motors Co., Ltd.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828,858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818,858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818,859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4.00</w:t>
            </w:r>
          </w:p>
        </w:tc>
        <w:tc>
          <w:tcPr>
            <w:tcW w:w="290" w:type="dxa"/>
            <w:tcBorders/>
            <w:shd w:fill="CCEEFF" w:val="clear"/>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bdr w:val="single" w:sz="2" w:space="1" w:color="000000"/>
              </w:rPr>
            </w:pPr>
            <w:r>
              <w:rPr>
                <w:bdr w:val="single" w:sz="2" w:space="1" w:color="000000"/>
              </w:rPr>
              <w:t> </w:t>
            </w:r>
          </w:p>
        </w:tc>
        <w:tc>
          <w:tcPr>
            <w:tcW w:w="139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single" w:sz="2" w:space="1" w:color="000000"/>
              </w:rPr>
            </w:pPr>
            <w:r>
              <w:rPr>
                <w:bdr w:val="single" w:sz="2" w:space="1" w:color="000000"/>
              </w:rPr>
              <w:t> </w:t>
            </w:r>
          </w:p>
        </w:tc>
        <w:tc>
          <w:tcPr>
            <w:tcW w:w="77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single" w:sz="2" w:space="1" w:color="000000"/>
              </w:rPr>
            </w:pPr>
            <w:r>
              <w:rPr>
                <w:bdr w:val="single" w:sz="2" w:space="1" w:color="000000"/>
              </w:rPr>
              <w:t> </w:t>
            </w:r>
          </w:p>
        </w:tc>
        <w:tc>
          <w:tcPr>
            <w:tcW w:w="77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b/>
                <w:spacing w:val="0"/>
              </w:rPr>
            </w:pPr>
            <w:r>
              <w:rPr>
                <w:b/>
                <w:spacing w:val="0"/>
              </w:rPr>
              <w:t>TOTAL</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6,620,709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1,188,998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5,431,711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spacing w:val="0"/>
              </w:rPr>
            </w:pPr>
            <w:r>
              <w:rPr>
                <w:spacing w:val="0"/>
              </w:rPr>
              <w:t> </w:t>
            </w:r>
          </w:p>
        </w:tc>
        <w:tc>
          <w:tcPr>
            <w:tcW w:w="770" w:type="dxa"/>
            <w:tcBorders/>
            <w:vAlign w:val="center"/>
          </w:tcPr>
          <w:p>
            <w:pPr>
              <w:pStyle w:val="TableContents"/>
              <w:bidi w:val="0"/>
              <w:spacing w:before="0" w:after="0"/>
              <w:jc w:val="right"/>
              <w:rPr>
                <w:spacing w:val="0"/>
              </w:rPr>
            </w:pPr>
            <w:r>
              <w:rPr>
                <w:spacing w:val="0"/>
              </w:rPr>
              <w:t>— </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rPr>
            </w:pPr>
            <w:r>
              <w:rPr>
                <w:spacing w:val="0"/>
              </w:rPr>
              <w:t> </w:t>
            </w:r>
          </w:p>
        </w:tc>
        <w:tc>
          <w:tcPr>
            <w:tcW w:w="1108" w:type="dxa"/>
            <w:tcBorders/>
            <w:vAlign w:val="center"/>
          </w:tcPr>
          <w:p>
            <w:pPr>
              <w:pStyle w:val="TableContents"/>
              <w:bidi w:val="0"/>
              <w:spacing w:before="0" w:after="0"/>
              <w:jc w:val="right"/>
              <w:rPr>
                <w:b/>
                <w:spacing w:val="0"/>
              </w:rPr>
            </w:pPr>
            <w:r>
              <w:rPr>
                <w:b/>
                <w:spacing w:val="0"/>
              </w:rPr>
              <w:t>8,155,523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spacing w:val="0"/>
              </w:rPr>
            </w:pPr>
            <w:r>
              <w:rPr>
                <w:spacing w:val="0"/>
              </w:rPr>
              <w:t> </w:t>
            </w:r>
          </w:p>
        </w:tc>
        <w:tc>
          <w:tcPr>
            <w:tcW w:w="1122" w:type="dxa"/>
            <w:tcBorders/>
            <w:vAlign w:val="center"/>
          </w:tcPr>
          <w:p>
            <w:pPr>
              <w:pStyle w:val="TableContents"/>
              <w:bidi w:val="0"/>
              <w:spacing w:before="0" w:after="0"/>
              <w:jc w:val="right"/>
              <w:rPr>
                <w:b/>
                <w:spacing w:val="0"/>
              </w:rPr>
            </w:pPr>
            <w:r>
              <w:rPr>
                <w:b/>
                <w:spacing w:val="0"/>
              </w:rPr>
              <w:t>1,569,033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6,586,490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spacing w:val="0"/>
              </w:rPr>
            </w:pPr>
            <w:r>
              <w:rPr>
                <w:spacing w:val="0"/>
              </w:rPr>
              <w:t> </w:t>
            </w:r>
          </w:p>
        </w:tc>
        <w:tc>
          <w:tcPr>
            <w:tcW w:w="770" w:type="dxa"/>
            <w:tcBorders/>
            <w:vAlign w:val="center"/>
          </w:tcPr>
          <w:p>
            <w:pPr>
              <w:pStyle w:val="TableContents"/>
              <w:bidi w:val="0"/>
              <w:spacing w:before="0" w:after="0"/>
              <w:jc w:val="right"/>
              <w:rPr>
                <w:spacing w:val="0"/>
              </w:rPr>
            </w:pPr>
            <w:r>
              <w:rPr>
                <w:spacing w:val="0"/>
              </w:rPr>
              <w:t>— </w:t>
            </w:r>
          </w:p>
        </w:tc>
        <w:tc>
          <w:tcPr>
            <w:tcW w:w="290" w:type="dxa"/>
            <w:tcBorders/>
            <w:vAlign w:val="center"/>
          </w:tcPr>
          <w:p>
            <w:pPr>
              <w:pStyle w:val="TableContents"/>
              <w:bidi w:val="0"/>
              <w:spacing w:before="0" w:after="0"/>
              <w:jc w:val="left"/>
              <w:rPr>
                <w:spacing w:val="0"/>
              </w:rPr>
            </w:pPr>
            <w:r>
              <w:rPr>
                <w:spacing w:val="0"/>
              </w:rPr>
              <w:t> </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bdr w:val="double" w:sz="6" w:space="1" w:color="000000"/>
              </w:rPr>
            </w:pPr>
            <w:r>
              <w:rPr>
                <w:bdr w:val="double" w:sz="6" w:space="1" w:color="000000"/>
              </w:rPr>
              <w:t> </w:t>
            </w:r>
          </w:p>
        </w:tc>
        <w:tc>
          <w:tcPr>
            <w:tcW w:w="139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double" w:sz="6" w:space="1" w:color="000000"/>
              </w:rPr>
            </w:pPr>
            <w:r>
              <w:rPr>
                <w:bdr w:val="double" w:sz="6" w:space="1" w:color="000000"/>
              </w:rPr>
              <w:t> </w:t>
            </w:r>
          </w:p>
        </w:tc>
        <w:tc>
          <w:tcPr>
            <w:tcW w:w="77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bdr w:val="double" w:sz="6" w:space="1" w:color="000000"/>
              </w:rPr>
            </w:pPr>
            <w:r>
              <w:rPr>
                <w:bdr w:val="double" w:sz="6" w:space="1" w:color="000000"/>
              </w:rPr>
              <w:t> </w:t>
            </w:r>
          </w:p>
        </w:tc>
        <w:tc>
          <w:tcPr>
            <w:tcW w:w="77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Group obtained secured borrowings from several banks of RMB6,620,709 in aggregate. The maturity dates ranged from January 2025 to November 2033. As of December 31, 2025, the Group obtained secured borrowings from several banks of RMB8,155,523 in aggregate. The maturity dates ranged from January 2026 to June 2035. </w:t>
      </w:r>
    </w:p>
    <w:p>
      <w:pPr>
        <w:pStyle w:val="TextBody"/>
        <w:bidi w:val="0"/>
        <w:spacing w:before="120" w:after="0"/>
        <w:jc w:val="left"/>
        <w:rPr>
          <w:rFonts w:ascii="Times New Roman" w:hAnsi="Times New Roman"/>
          <w:sz w:val="20"/>
        </w:rPr>
      </w:pPr>
      <w:r>
        <w:rPr>
          <w:rFonts w:ascii="Times New Roman" w:hAnsi="Times New Roman"/>
          <w:sz w:val="20"/>
        </w:rPr>
        <w:t>Moreover, the Group received subsidies from the local government for interest expenses incurred associated with the borrowings. As of December 31, 2024 and 2025, the aggregate sum of loans receiving government—subsidized interest amounts to RMB3,673,864 and RMB3,480,958</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respectively. For the years ended December 31, 2023, 2024 and 2025, upon the acceptance of subsidy application by the local government, the Group recognized the subsidies to reduce the related interest expenses as incurred or to reduce the interest expenses capitalized in the construction costs of certain manufacturing plant, if any. </w:t>
      </w:r>
    </w:p>
    <w:p>
      <w:pPr>
        <w:pStyle w:val="TextBody"/>
        <w:bidi w:val="0"/>
        <w:spacing w:before="120" w:after="0"/>
        <w:jc w:val="left"/>
        <w:rPr>
          <w:rFonts w:ascii="Times New Roman" w:hAnsi="Times New Roman"/>
          <w:sz w:val="20"/>
        </w:rPr>
      </w:pPr>
      <w:r>
        <w:rPr>
          <w:rFonts w:ascii="Times New Roman" w:hAnsi="Times New Roman"/>
          <w:sz w:val="20"/>
        </w:rPr>
        <w:t>Certain of the Group’s banking facilities are subject to the fulfillment of certain financial covenants, including the current ratio and liabilities to assets ratio tests, which are commonly found in lending arrangements with financial institutions. If the Group were to breach the covenants, the drawn down facilities would become payable on demand. The Group regularly monitors its compliance with these covenants. As of December 31, 2024 and 2025, none of the covenants relating to drawn down facilities had been breached. Certain long-term bank loans are collateralized by a pledge of certain buildings and land use rights in the PRC with carrying values of RMB3,287,759 and RMB3,342,956 as of December 31, 2024 and 2025, respectively. As of December 31, 2024 and 2025, long-term deposits of RMB1,138,479 and RMB1,468,708 were collateralized as pledges for certain long-term bank loans, which are classified as “Restricted long-term deposits”. As of December 31, 2024 and 2025, long-term deposits , current portion of nil and RMB600,472 were collateralized as pledges</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for certain long-term bank loans, which are classified as “Restricted long-term deposits, current portion”.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16. Borrowings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(iii) Asset-backed securities (“ABS”)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and October 2024, the Group entered into asset-backed securitization arrangements with third-party financial institutions and set up two securitization vehicles to issue senior debt securities to third party investors, which are collateralized by installment payment receivables (the “transferred financial assets”). The Group also acts as a servicer to provide management, administration and collection services on the transferred financial assets and has the power to direct the activities that most significantly impact the securitization vehicles. The economic interests are retained by the Group in the form of subordinated interests as well as its obligation to absorb losses under certain circumstances. As a result, the Group consolidated the securitization vehicles. The proceeds from the issuance of debt securities are reported as securitization debt. The securities will be repaid as collections on the underlying collateralized assets occur and the amounts were included in “Long-term borrowings, current portion” or “Long-term borrowings” according to the contractual maturities of the debt securities. As of December 31, 2024, the balance of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portion of the ABS were RMB587,470 and RMB232,807, respectively. As of December 31, 2025, the balance of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portion of the ABS were RMB268,917 and RMB2,375, respectively. </w:t>
      </w:r>
    </w:p>
    <w:p>
      <w:pPr>
        <w:pStyle w:val="TextBody"/>
        <w:bidi w:val="0"/>
        <w:spacing w:before="120" w:after="0"/>
        <w:jc w:val="left"/>
        <w:rPr>
          <w:rFonts w:ascii="Times New Roman" w:hAnsi="Times New Roman"/>
          <w:sz w:val="20"/>
        </w:rPr>
      </w:pPr>
      <w:r>
        <w:rPr>
          <w:rFonts w:ascii="Times New Roman" w:hAnsi="Times New Roman"/>
          <w:sz w:val="20"/>
        </w:rPr>
        <w:t xml:space="preserve">(iv) Asset-backed notes (“ABN”)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the Group entered into asset-backed notes by issuing senior debt notes to third party investors, which are collateralized by installment payment receivables. The Group also acts as a servicer to provide management, administration and collection services on the transferred financial assets and has the power to direct the activities that most significantly impact the securitization vehicles. The economic interests are retained by the Group in the form of subordinated interests as well as its obligation to absorb losses under certain circumstances. As a result, the Group consolidated the securitization vehicles. The proceeds from the issuance of debt notes are reported as securitization debt. The notes will be repaid as collections on the underlying collateralized assets occur and the amounts were included in “Long- term borrowings, current portion” or “Long-term borrowings” according to the contractual maturities. As of December 31, 2024, the balance of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portion of the ABN were RMB82,145 and nil</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respectively. As of December 31, 2025, the balance of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portion of the ABN were both nil.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2025, all of the bank loans and other borrowings of the Group were denominated in RMB and bore fixed and floating interest rate, and the Group had not been in violation of any of the covenants pursuant to the applicable agreements entered into with the lenders.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carrying value of the borrowings approximates fair value as of December 31, 2024 and December 31, 2025, respectively. The interest rates under the loan agreements with the banks were determined based on the prevailing interest rates in the market. The Group classifies the valuation techniques that use these inputs as Level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Other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extBody"/>
        <w:bidi w:val="0"/>
        <w:spacing w:before="0" w:after="0"/>
        <w:jc w:val="left"/>
        <w:rPr>
          <w:rFonts w:ascii="Times New Roman" w:hAnsi="Times New Roman"/>
          <w:b/>
          <w:sz w:val="20"/>
        </w:rPr>
      </w:pPr>
      <w:r>
        <w:rPr>
          <w:rFonts w:ascii="Times New Roman" w:hAnsi="Times New Roman"/>
          <w:b/>
          <w:sz w:val="20"/>
        </w:rPr>
        <w:t xml:space="preserve">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liabilities consisted of the following: </w:t>
      </w:r>
    </w:p>
    <w:p>
      <w:pPr>
        <w:pStyle w:val="TextBody"/>
        <w:bidi w:val="0"/>
        <w:spacing w:before="0" w:after="0"/>
        <w:jc w:val="left"/>
        <w:rPr/>
      </w:pPr>
      <w:r>
        <w:rPr/>
        <w:t> </w:t>
      </w:r>
    </w:p>
    <w:tbl>
      <w:tblPr>
        <w:tblW w:w="4980" w:type="dxa"/>
        <w:jc w:val="left"/>
        <w:tblInd w:w="0" w:type="dxa"/>
        <w:tblLayout w:type="fixed"/>
        <w:tblCellMar>
          <w:top w:w="0" w:type="dxa"/>
          <w:left w:w="0" w:type="dxa"/>
          <w:bottom w:w="0" w:type="dxa"/>
          <w:right w:w="0" w:type="dxa"/>
        </w:tblCellMar>
      </w:tblPr>
      <w:tblGrid>
        <w:gridCol w:w="2525"/>
        <w:gridCol w:w="120"/>
        <w:gridCol w:w="60"/>
        <w:gridCol w:w="980"/>
        <w:gridCol w:w="60"/>
        <w:gridCol w:w="120"/>
        <w:gridCol w:w="60"/>
        <w:gridCol w:w="98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Warranty provisions</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809,437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1,111,920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201,823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204,734</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from third party investors</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1,316,206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166,233</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 from a third party</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118,310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85,397</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2,445,776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1,568,284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The debt from third party investors consisted of the following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two</w:t>
      </w:r>
    </w:p>
    <w:p>
      <w:pPr>
        <w:pStyle w:val="TextBody"/>
        <w:bidi w:val="0"/>
        <w:spacing w:before="240" w:after="0"/>
        <w:jc w:val="left"/>
        <w:rPr>
          <w:rFonts w:ascii="Times New Roman" w:hAnsi="Times New Roman"/>
          <w:sz w:val="20"/>
        </w:rPr>
      </w:pPr>
      <w:r>
        <w:rPr>
          <w:rFonts w:ascii="Times New Roman" w:hAnsi="Times New Roman"/>
          <w:sz w:val="20"/>
        </w:rPr>
        <w:t xml:space="preserve">financing arrangements: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Financing in an amount of RMB160 million from Guangzhou GET Investment Holdings Co., Ltd. (“Guangzhou GET Investment”)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2020, Chengxing and Guangzhou Xiaopeng Automotive Investment Co., Ltd. (“Guangzhou Xiaopeng Investment”), subsidiaries of the Group, entered into a partnership agreement with Guangzhou GET Investment to set up a limited liability partnership entity (the “Kunpeng Chuangye LLP”) whose operating period is designed for 9 years since the date of the registration of its business license. Chengxing, Guangzhou Xiaopeng Investment and Guangzhou GET Investment subscribed for RMB200,000, RMB10 and RMB160,000 paid in capital in Kunpeng Chuangye LLP in return for 55.5540%, 0.0028% and 44.4432% of the equity interests, respectively. The consideration of RMB160 million was paid by Guangzhou GET Investment to Kunpeng Chuangye LLP in January 2021. Pursuant to the investment agreement, Guangzhou GET Investment does not have substantive participating rights in Kunpeng Chuangye LLP nor it is able to transfer their interest in Kunpeng Chuangye LLP to other third party. During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9-year</w:t>
      </w:r>
    </w:p>
    <w:p>
      <w:pPr>
        <w:pStyle w:val="TextBody"/>
        <w:bidi w:val="0"/>
        <w:spacing w:before="120" w:after="0"/>
        <w:jc w:val="left"/>
        <w:rPr>
          <w:rFonts w:ascii="Times New Roman" w:hAnsi="Times New Roman"/>
          <w:sz w:val="20"/>
        </w:rPr>
      </w:pPr>
      <w:r>
        <w:rPr>
          <w:rFonts w:ascii="Times New Roman" w:hAnsi="Times New Roman"/>
          <w:sz w:val="20"/>
        </w:rPr>
        <w:t xml:space="preserve">operating period of Kunpeng Chuangye LLP, Guangzhou GET Investment is only entitled to interest calculated at an interest rate of 4% per annum based on its investment amount of RMB160,000 in Kunpeng Chuangye LLP. Upon liquidation, if any, at any time within 9 years or at the due date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9-year</w:t>
      </w:r>
    </w:p>
    <w:p>
      <w:pPr>
        <w:pStyle w:val="TextBody"/>
        <w:bidi w:val="0"/>
        <w:spacing w:before="120" w:after="0"/>
        <w:jc w:val="left"/>
        <w:rPr>
          <w:rFonts w:ascii="Times New Roman" w:hAnsi="Times New Roman"/>
          <w:sz w:val="20"/>
        </w:rPr>
      </w:pPr>
      <w:r>
        <w:rPr>
          <w:rFonts w:ascii="Times New Roman" w:hAnsi="Times New Roman"/>
          <w:sz w:val="20"/>
        </w:rPr>
        <w:t xml:space="preserve">operating period, Guangzhou GET Investment will be entitled to and only entitled to its investment amount amounting to RMB160,000. If Kunpeng Chuangye LLP failed to pay the investment amount of RMB160,000 or the interest calculated at an interest rate of 4% per annum to Guangzhou GET Investment, Chengxing, also guaranteed by Xiaopeng Technology, will be liable for the unpaid amounts. Based on these arrangements, the Group consolidates Kunpeng Chuangye LLP via its subsidiaries Chengxing and Guangzhou Xiaopeng Investment. The Group regards the investment held by Guangzhou GET Investment as a liability with interest expenses amortized through the period given the risks and rewards of owning 44.4432% of equity interests in Kunpeng Chuangye LLP have been retained by the Group and the substance of the transaction is that Guangzhou GET Investment is providing financing to the Group via Kunpeng Chuangye LLP.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interest payable for the investment held by Guangzhou GET Investment which amounted to </w:t>
      </w:r>
    </w:p>
    <w:p>
      <w:pPr>
        <w:pStyle w:val="TextBody"/>
        <w:bidi w:val="0"/>
        <w:spacing w:before="120" w:after="0"/>
        <w:ind w:left="0" w:right="0" w:hanging="0"/>
        <w:jc w:val="left"/>
        <w:rPr>
          <w:rFonts w:ascii="Times New Roman" w:hAnsi="Times New Roman"/>
          <w:sz w:val="20"/>
        </w:rPr>
      </w:pPr>
      <w:r>
        <w:rPr>
          <w:rFonts w:ascii="Times New Roman" w:hAnsi="Times New Roman"/>
          <w:sz w:val="20"/>
        </w:rPr>
        <w:t>RMB6,233 and RMB6,233 as of December 31, 2024 and 2025, respectively, was calculated at an interest rate of 4%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Other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extBody"/>
        <w:bidi w:val="0"/>
        <w:spacing w:before="0" w:after="0"/>
        <w:jc w:val="left"/>
        <w:rPr>
          <w:rFonts w:ascii="Times New Roman" w:hAnsi="Times New Roman"/>
          <w:b/>
          <w:sz w:val="20"/>
        </w:rPr>
      </w:pPr>
      <w:r>
        <w:rPr>
          <w:rFonts w:ascii="Times New Roman" w:hAnsi="Times New Roman"/>
          <w:b/>
          <w:sz w:val="20"/>
        </w:rPr>
        <w:t xml:space="preserve">Liabilities (continued)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 The debt from third party investors consisted of the following t</w:t>
      </w:r>
    </w:p>
    <w:p>
      <w:pPr>
        <w:pStyle w:val="TextBody"/>
        <w:bidi w:val="0"/>
        <w:spacing w:before="0" w:after="0"/>
        <w:jc w:val="left"/>
        <w:rPr>
          <w:rFonts w:ascii="Times New Roman" w:hAnsi="Times New Roman"/>
          <w:spacing w:val="0"/>
          <w:sz w:val="20"/>
        </w:rPr>
      </w:pPr>
      <w:r>
        <w:rPr>
          <w:rFonts w:ascii="Times New Roman" w:hAnsi="Times New Roman"/>
          <w:spacing w:val="0"/>
          <w:sz w:val="20"/>
        </w:rPr>
        <w:t>wo</w:t>
      </w:r>
    </w:p>
    <w:p>
      <w:pPr>
        <w:pStyle w:val="TextBody"/>
        <w:bidi w:val="0"/>
        <w:spacing w:before="0" w:after="0"/>
        <w:jc w:val="left"/>
        <w:rPr/>
      </w:pPr>
      <w:r>
        <w:rPr/>
        <w:t> </w:t>
      </w:r>
      <w:r>
        <w:rPr>
          <w:rFonts w:ascii="Times New Roman" w:hAnsi="Times New Roman"/>
          <w:sz w:val="20"/>
        </w:rPr>
        <w:t xml:space="preserve">financing arrangements (continued): </w:t>
      </w:r>
    </w:p>
    <w:p>
      <w:pPr>
        <w:pStyle w:val="TextBody"/>
        <w:bidi w:val="0"/>
        <w:spacing w:before="120" w:after="0"/>
        <w:jc w:val="left"/>
        <w:rPr>
          <w:rFonts w:ascii="Times New Roman" w:hAnsi="Times New Roman"/>
          <w:b/>
          <w:sz w:val="20"/>
        </w:rPr>
      </w:pPr>
      <w:r>
        <w:rPr>
          <w:rFonts w:ascii="Times New Roman" w:hAnsi="Times New Roman"/>
          <w:b/>
          <w:sz w:val="20"/>
        </w:rPr>
        <w:t>2) Financing in an amount of RMB1,000 million from Guangzhou GET Investment</w:t>
      </w:r>
    </w:p>
    <w:p>
      <w:pPr>
        <w:pStyle w:val="TextBody"/>
        <w:bidi w:val="0"/>
        <w:spacing w:before="120" w:after="0"/>
        <w:jc w:val="left"/>
        <w:rPr>
          <w:rFonts w:ascii="Times New Roman" w:hAnsi="Times New Roman"/>
          <w:sz w:val="20"/>
        </w:rPr>
      </w:pPr>
      <w:r>
        <w:rPr>
          <w:rFonts w:ascii="Times New Roman" w:hAnsi="Times New Roman"/>
          <w:sz w:val="20"/>
        </w:rPr>
        <w:t>Pursuant to the share purchase agreement, dated March 30, 2021, signed among Chengxing, Chengxing’s shareholders and Guangzhou GET Investment, Guangzhou GET Investment subscribed for common stock newly issued by Chengxing at a consideration of RMB1,000 million. Immediately after the share subscription, Guangzhou GET Investment began to hold 1.0640% of equity interest in Chengxing. The consideration of RMB1,000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was paid by Guangzhou GET Investment on March 31, 2021 (“Initial Capital Injection Date of Guangzhou GET Investment”). Pursuant to the terms of the agreement, conditional upon the disclosure of any plan of any potential onshore listing by any entity affiliated with Chengxing on any stock exchange in the PRC within 5 years after the Initial Capital Injection Date of Guangzhou GET Investment, Guangzhou GET Investment is entitled to request Guangdong Xiaopeng Motors Technology Group Co., Ltd. to purchase the shares of Chengxing held by it for cash, such that it could use the relevant funds to participate in such potential onshore public offering. Under the share purchase agreement, no guaranteed allocation of such public offering shares will be granted to Guangzhou GET Investment. The amount to be paid by Guangdong Xiaopeng Motors Technology Group Co., Ltd. for such purchase is to be calculated with reference to the consideration paid by Guangzhou GET Investment, i.e. RMB</w:t>
      </w:r>
    </w:p>
    <w:p>
      <w:pPr>
        <w:pStyle w:val="TextBody"/>
        <w:bidi w:val="0"/>
        <w:spacing w:before="120" w:after="0"/>
        <w:jc w:val="left"/>
        <w:rPr>
          <w:rFonts w:ascii="Times New Roman" w:hAnsi="Times New Roman"/>
          <w:sz w:val="20"/>
        </w:rPr>
      </w:pPr>
      <w:r>
        <w:rPr>
          <w:rFonts w:ascii="Times New Roman" w:hAnsi="Times New Roman"/>
          <w:sz w:val="20"/>
        </w:rPr>
        <w:t xml:space="preserve">1,000 million and an interest at a rate of 4% or 6%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per annum pursuant to the terms of the share purchase agreement. Upon the fifth anniversary of the Initial Capital Injection Date of Guangzhou GET Investment, if Guangzhou GET Investment, Guangdong Xiaopeng Motors Technology Group Co., Ltd. and Chengxing fail to reach an agreement on the terms of such potential onshore listing in the PRC, or such relevant entity cannot successfully become listed in the PRC, Guangdong Xiaopeng Motors Technology Group Co., Ltd. is entitled to request Guangzhou GET Investment to sell, or Guangzhou GET Investment is entitled to request Guangdong Xiaopeng Motors Technology Group Co., Ltd. to purchase, the common stock in Chengxing held by Guangzhou GET Investment at a price of RMB</w:t>
      </w:r>
    </w:p>
    <w:p>
      <w:pPr>
        <w:pStyle w:val="TextBody"/>
        <w:bidi w:val="0"/>
        <w:spacing w:before="120" w:after="0"/>
        <w:jc w:val="left"/>
        <w:rPr>
          <w:rFonts w:ascii="Times New Roman" w:hAnsi="Times New Roman"/>
          <w:sz w:val="20"/>
        </w:rPr>
      </w:pPr>
      <w:r>
        <w:rPr>
          <w:rFonts w:ascii="Times New Roman" w:hAnsi="Times New Roman"/>
          <w:sz w:val="20"/>
        </w:rPr>
        <w:t>1,000 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million plus interest calculated at the rate of 4% per annum. In addition, pursuant to the terms of the arrangement, Guangzhou GET Investment does not have substantive participating rights in Chengxing. The Group regards the investment held by Guangzhou GET Investment as a liability with interest expenses amortized through the period as the risks and rewards of owning the </w:t>
      </w:r>
    </w:p>
    <w:p>
      <w:pPr>
        <w:pStyle w:val="TextBody"/>
        <w:bidi w:val="0"/>
        <w:spacing w:before="120" w:after="0"/>
        <w:jc w:val="left"/>
        <w:rPr>
          <w:rFonts w:ascii="Times New Roman" w:hAnsi="Times New Roman"/>
          <w:sz w:val="20"/>
        </w:rPr>
      </w:pPr>
      <w:r>
        <w:rPr>
          <w:rFonts w:ascii="Times New Roman" w:hAnsi="Times New Roman"/>
          <w:sz w:val="20"/>
        </w:rPr>
        <w:t xml:space="preserve">1.0640%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equity interest in Chengxing have been retained by the Group and the substance of the transaction is that Guangzhou GET Investment is providing financing to Chengxing.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interest payable for the investment by Guangzhou GET Investment, which amounted to RMB</w:t>
      </w:r>
    </w:p>
    <w:p>
      <w:pPr>
        <w:pStyle w:val="TextBody"/>
        <w:bidi w:val="0"/>
        <w:spacing w:before="120" w:after="0"/>
        <w:jc w:val="left"/>
        <w:rPr>
          <w:rFonts w:ascii="Times New Roman" w:hAnsi="Times New Roman"/>
          <w:sz w:val="20"/>
        </w:rPr>
      </w:pPr>
      <w:r>
        <w:rPr>
          <w:rFonts w:ascii="Times New Roman" w:hAnsi="Times New Roman"/>
          <w:sz w:val="20"/>
        </w:rPr>
        <w:t xml:space="preserve">149,973 and RMB189,973 as of December 31, 2024 and 2025, respectively, was calculated at an interest rate of 4% per annum.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principal amount of RMB1,000,000 and interest of RMB189,973 will be due within one year and were classified to “Accruals and Other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Other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extBody"/>
        <w:bidi w:val="0"/>
        <w:spacing w:before="0" w:after="0"/>
        <w:jc w:val="left"/>
        <w:rPr>
          <w:rFonts w:ascii="Times New Roman" w:hAnsi="Times New Roman"/>
          <w:b/>
          <w:sz w:val="20"/>
        </w:rPr>
      </w:pPr>
      <w:r>
        <w:rPr>
          <w:rFonts w:ascii="Times New Roman" w:hAnsi="Times New Roman"/>
          <w:b/>
          <w:sz w:val="20"/>
        </w:rPr>
        <w:t xml:space="preserve">Liabilities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Movement of accrued warranty is as following: </w:t>
      </w:r>
    </w:p>
    <w:p>
      <w:pPr>
        <w:pStyle w:val="TextBody"/>
        <w:bidi w:val="0"/>
        <w:spacing w:before="0" w:after="0"/>
        <w:jc w:val="left"/>
        <w:rPr/>
      </w:pPr>
      <w:r>
        <w:rPr/>
        <w:t> </w:t>
      </w:r>
    </w:p>
    <w:tbl>
      <w:tblPr>
        <w:tblW w:w="7310" w:type="dxa"/>
        <w:jc w:val="left"/>
        <w:tblInd w:w="0" w:type="dxa"/>
        <w:tblLayout w:type="fixed"/>
        <w:tblCellMar>
          <w:top w:w="0" w:type="dxa"/>
          <w:left w:w="0" w:type="dxa"/>
          <w:bottom w:w="0" w:type="dxa"/>
          <w:right w:w="0" w:type="dxa"/>
        </w:tblCellMar>
      </w:tblPr>
      <w:tblGrid>
        <w:gridCol w:w="3350"/>
        <w:gridCol w:w="120"/>
        <w:gridCol w:w="60"/>
        <w:gridCol w:w="980"/>
        <w:gridCol w:w="155"/>
        <w:gridCol w:w="120"/>
        <w:gridCol w:w="60"/>
        <w:gridCol w:w="980"/>
        <w:gridCol w:w="155"/>
        <w:gridCol w:w="120"/>
        <w:gridCol w:w="60"/>
        <w:gridCol w:w="980"/>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warranty -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641,062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1,008,993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1,198,727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Warranty costs incurred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(228,674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(208,691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(357,473</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warranty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596,605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597,465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962,623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pre-existing</w:t>
            </w:r>
          </w:p>
          <w:p>
            <w:pPr>
              <w:pStyle w:val="TableContents"/>
              <w:bidi w:val="0"/>
              <w:spacing w:before="0" w:after="0"/>
              <w:jc w:val="left"/>
              <w:rPr>
                <w:rFonts w:ascii="Times New Roman" w:hAnsi="Times New Roman"/>
                <w:sz w:val="20"/>
              </w:rPr>
            </w:pPr>
            <w:r>
              <w:rPr>
                <w:rFonts w:ascii="Times New Roman" w:hAnsi="Times New Roman"/>
                <w:sz w:val="20"/>
              </w:rPr>
              <w:t>warranty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(199,040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(8,997</w:t>
            </w:r>
          </w:p>
        </w:tc>
        <w:tc>
          <w:tcPr>
            <w:tcW w:w="170" w:type="dxa"/>
            <w:tcBorders/>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warranty - end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1,008,993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1,198,727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1,794,880</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 of warranty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(219,988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(389,290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(682,960</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of warranty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789,005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809,437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1,111,920</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The Group reviews historically incurred warranty cost periodically and updated the estimates of future warranty cost. </w:t>
      </w:r>
    </w:p>
    <w:p>
      <w:pPr>
        <w:pStyle w:val="TextBody"/>
        <w:bidi w:val="0"/>
        <w:spacing w:before="120" w:after="0"/>
        <w:jc w:val="left"/>
        <w:rPr>
          <w:rFonts w:ascii="Times New Roman" w:hAnsi="Times New Roman"/>
          <w:sz w:val="20"/>
        </w:rPr>
      </w:pPr>
      <w:r>
        <w:rPr>
          <w:rFonts w:ascii="Times New Roman" w:hAnsi="Times New Roman"/>
          <w:sz w:val="20"/>
        </w:rPr>
        <w:t xml:space="preserve">(iii) Deposits from a third party represent the refundable deposit for the finance lease cooperation in which the Group serves as the lessor(Note 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Leases </w:t>
      </w:r>
    </w:p>
    <w:p>
      <w:pPr>
        <w:pStyle w:val="TextBody"/>
        <w:bidi w:val="0"/>
        <w:spacing w:before="120" w:after="0"/>
        <w:jc w:val="left"/>
        <w:rPr>
          <w:rFonts w:ascii="Times New Roman" w:hAnsi="Times New Roman"/>
          <w:sz w:val="20"/>
        </w:rPr>
      </w:pPr>
      <w:r>
        <w:rPr>
          <w:rFonts w:ascii="Times New Roman" w:hAnsi="Times New Roman"/>
          <w:sz w:val="20"/>
        </w:rPr>
        <w:t xml:space="preserve">As a lessee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has entered into various operating lease agreements for certain land use rights, offices, retail and service centers, warehouses for finished goods, parking areas for charging infrastructure, and factories which are substantially located in PRC. In 2022, the Group also entered into a finance lease agreement for the Guangzhou manufacturing plant. The Group determines if an arrangement is a lease, or contains a lease, at inception and records the leases in the consolidated financial statements upon lease commencement, which is the date when the lessor makes the underlying asset available for use by the lessee. </w:t>
      </w:r>
    </w:p>
    <w:p>
      <w:pPr>
        <w:pStyle w:val="TextBody"/>
        <w:bidi w:val="0"/>
        <w:spacing w:before="120" w:after="0"/>
        <w:jc w:val="left"/>
        <w:rPr>
          <w:rFonts w:ascii="Times New Roman" w:hAnsi="Times New Roman"/>
          <w:sz w:val="20"/>
        </w:rPr>
      </w:pPr>
      <w:r>
        <w:rPr>
          <w:rFonts w:ascii="Times New Roman" w:hAnsi="Times New Roman"/>
          <w:sz w:val="20"/>
        </w:rPr>
        <w:t xml:space="preserve">The Group’s leases, where the Group is the lessee, may include options to extend the lease term and options to terminate the lease prior to the end of the agreed upon lease term. For purposes of calculating lease liabilities, lease terms include options to extend or terminate the lease when it is reasonably certain that the Group will exercise such options.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entered into a cooperation agreement and supplementary agreements (collectively </w:t>
      </w:r>
    </w:p>
    <w:p>
      <w:pPr>
        <w:pStyle w:val="TextBody"/>
        <w:bidi w:val="0"/>
        <w:spacing w:before="120" w:after="0"/>
        <w:jc w:val="left"/>
        <w:rPr>
          <w:spacing w:val="0"/>
        </w:rPr>
      </w:pPr>
      <w:r>
        <w:rPr>
          <w:spacing w:val="0"/>
        </w:rPr>
        <w:t>“</w:t>
      </w:r>
      <w:r>
        <w:rPr>
          <w:rFonts w:ascii="Times New Roman" w:hAnsi="Times New Roman"/>
          <w:b/>
          <w:spacing w:val="0"/>
          <w:sz w:val="20"/>
        </w:rPr>
        <w:t>Guangzhou Cooperation Agreements”</w:t>
      </w:r>
    </w:p>
    <w:p>
      <w:pPr>
        <w:pStyle w:val="TextBody"/>
        <w:bidi w:val="0"/>
        <w:spacing w:before="120" w:after="0"/>
        <w:jc w:val="left"/>
        <w:rPr>
          <w:rFonts w:ascii="Times New Roman" w:hAnsi="Times New Roman"/>
          <w:sz w:val="20"/>
        </w:rPr>
      </w:pPr>
      <w:r>
        <w:rPr>
          <w:rFonts w:ascii="Times New Roman" w:hAnsi="Times New Roman"/>
          <w:sz w:val="20"/>
        </w:rPr>
        <w:t xml:space="preserve">) in September 2020 and June 2021 for the establishment of the Group’s Guangzhou manufacturing plant with Guangzhou GET Investment and Guangzhou GET New Energy. Pursuant to Guangzhou Cooperation Agreement, the Group intends to construct a new Smart EV manufacturing base which houses a broad range of functions, including research and development, manufacturing, vehicle testing and sales. </w:t>
      </w:r>
    </w:p>
    <w:p>
      <w:pPr>
        <w:pStyle w:val="TextBody"/>
        <w:bidi w:val="0"/>
        <w:spacing w:before="120" w:after="0"/>
        <w:jc w:val="left"/>
        <w:rPr>
          <w:rFonts w:ascii="Times New Roman" w:hAnsi="Times New Roman"/>
          <w:sz w:val="20"/>
        </w:rPr>
      </w:pPr>
      <w:r>
        <w:rPr>
          <w:rFonts w:ascii="Times New Roman" w:hAnsi="Times New Roman"/>
          <w:sz w:val="20"/>
        </w:rPr>
        <w:t xml:space="preserve">The Group entered into a lease contract with Guangzhou GET New Energy to lease the plant and underlying land use right of Guangzhou manufacturing plant with an annual lease payment of RMB57,900 from July 2022 to June 2029, and further obtained an obligation to purchase the plant and underlying land use right at the construction cost of RMB1,300,000 at the end of lease term. Further construction cost amounting to RMB30,670 will be paid subsequently according to the payment schedule. The lease payment made before the lease commencement date was RMB60,443. The initial direct cost made and the incentive received on or before the lease commencement date were immaterial.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lease of the land use right or a purchased land use right is accounted for as an operating lease under U.S. GAAP. As the Group has an obligation to purchase the plant at cost and the assets are designed for the use of the Group, the obligation is reasonably certain to be exercised, and accordingly, the lease of the plant was classified as a finance lease and recognized as property, plant and equipment of the Group. Therefore, on the lease commencement date, the land use right and property, plant and equipment for the plant amounted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 xml:space="preserve">RMB389,508 and RMB1,001,820, respectively, being the present value of the lease payment and the exercise price of the purchase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balances for the leases where the Group is the lessee are presented as follows within the consolidated balance sheets: </w:t>
      </w:r>
    </w:p>
    <w:p>
      <w:pPr>
        <w:pStyle w:val="TextBody"/>
        <w:bidi w:val="0"/>
        <w:spacing w:before="0" w:after="0"/>
        <w:jc w:val="left"/>
        <w:rPr/>
      </w:pPr>
      <w:r>
        <w:rPr/>
        <w:t> </w:t>
      </w:r>
    </w:p>
    <w:tbl>
      <w:tblPr>
        <w:tblW w:w="5655" w:type="dxa"/>
        <w:jc w:val="left"/>
        <w:tblInd w:w="0" w:type="dxa"/>
        <w:tblLayout w:type="fixed"/>
        <w:tblCellMar>
          <w:top w:w="0" w:type="dxa"/>
          <w:left w:w="0" w:type="dxa"/>
          <w:bottom w:w="0" w:type="dxa"/>
          <w:right w:w="0" w:type="dxa"/>
        </w:tblCellMar>
      </w:tblPr>
      <w:tblGrid>
        <w:gridCol w:w="3200"/>
        <w:gridCol w:w="120"/>
        <w:gridCol w:w="60"/>
        <w:gridCol w:w="980"/>
        <w:gridCol w:w="60"/>
        <w:gridCol w:w="120"/>
        <w:gridCol w:w="60"/>
        <w:gridCol w:w="980"/>
        <w:gridCol w:w="7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410,388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940,928</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1,261,663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3,730,921</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lease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1,672,051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4,671,849</w:t>
            </w:r>
          </w:p>
        </w:tc>
        <w:tc>
          <w:tcPr>
            <w:tcW w:w="75" w:type="dxa"/>
            <w:tcBorders/>
            <w:vAlign w:val="center"/>
          </w:tcPr>
          <w:p>
            <w:pPr>
              <w:pStyle w:val="TableContents"/>
              <w:bidi w:val="0"/>
              <w:spacing w:before="0" w:after="0"/>
              <w:jc w:val="left"/>
              <w:rPr>
                <w:spacing w:val="0"/>
              </w:rPr>
            </w:pPr>
            <w:r>
              <w:rPr>
                <w:spacing w:val="0"/>
              </w:rPr>
              <w:t> </w:t>
            </w:r>
          </w:p>
        </w:tc>
      </w:tr>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 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324,496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445,901</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 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1,345,852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4,246,599</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1,670,348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4,692,500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Leases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lessee (continued) </w:t>
      </w:r>
    </w:p>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3110"/>
        <w:gridCol w:w="120"/>
        <w:gridCol w:w="60"/>
        <w:gridCol w:w="980"/>
        <w:gridCol w:w="155"/>
        <w:gridCol w:w="120"/>
        <w:gridCol w:w="60"/>
        <w:gridCol w:w="980"/>
        <w:gridCol w:w="170"/>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Finance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at cost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1,001,820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1,001,820</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(125,228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(175,319</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Property, plant and equipment,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876,592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826,501</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 - 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41,940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55,581</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 - non 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777,697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740,576</w:t>
            </w:r>
          </w:p>
        </w:tc>
        <w:tc>
          <w:tcPr>
            <w:tcW w:w="17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finance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819,637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796,157</w:t>
            </w:r>
          </w:p>
        </w:tc>
        <w:tc>
          <w:tcPr>
            <w:tcW w:w="170"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components of lease expense are as follows: </w:t>
      </w:r>
    </w:p>
    <w:p>
      <w:pPr>
        <w:pStyle w:val="TextBody"/>
        <w:bidi w:val="0"/>
        <w:spacing w:before="0" w:after="0"/>
        <w:jc w:val="left"/>
        <w:rPr/>
      </w:pPr>
      <w:r>
        <w:rPr/>
        <w:t> </w:t>
      </w:r>
    </w:p>
    <w:tbl>
      <w:tblPr>
        <w:tblW w:w="5660" w:type="dxa"/>
        <w:jc w:val="left"/>
        <w:tblInd w:w="0" w:type="dxa"/>
        <w:tblLayout w:type="fixed"/>
        <w:tblCellMar>
          <w:top w:w="0" w:type="dxa"/>
          <w:left w:w="0" w:type="dxa"/>
          <w:bottom w:w="0" w:type="dxa"/>
          <w:right w:w="0" w:type="dxa"/>
        </w:tblCellMar>
      </w:tblPr>
      <w:tblGrid>
        <w:gridCol w:w="2525"/>
        <w:gridCol w:w="120"/>
        <w:gridCol w:w="60"/>
        <w:gridCol w:w="800"/>
        <w:gridCol w:w="60"/>
        <w:gridCol w:w="120"/>
        <w:gridCol w:w="60"/>
        <w:gridCol w:w="800"/>
        <w:gridCol w:w="60"/>
        <w:gridCol w:w="120"/>
        <w:gridCol w:w="60"/>
        <w:gridCol w:w="80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lease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540,688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426,998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643,890</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231,467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259,129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149,229</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772,155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686,127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793,119</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Finance lease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50,091</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40,205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38,321</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finance lease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90,296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88,412</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862,451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775,543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881,531</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Short-term leases primarily consist of the parking areas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pop-up</w:t>
      </w:r>
    </w:p>
    <w:p>
      <w:pPr>
        <w:pStyle w:val="TextBody"/>
        <w:bidi w:val="0"/>
        <w:spacing w:before="120" w:after="0"/>
        <w:jc w:val="left"/>
        <w:rPr>
          <w:rFonts w:ascii="Times New Roman" w:hAnsi="Times New Roman"/>
          <w:sz w:val="20"/>
        </w:rPr>
      </w:pPr>
      <w:r>
        <w:rPr>
          <w:rFonts w:ascii="Times New Roman" w:hAnsi="Times New Roman"/>
          <w:sz w:val="20"/>
        </w:rPr>
        <w:t xml:space="preserve">stores leases with a term of 12 months or less.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of finance lease, operating lease expense and short-term lease expense are recognized as cost of sales, selling, general and administrative expenses and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on finance lease liabilities is recognized over the lease term as “Interest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Leases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lessee (continued) </w:t>
      </w:r>
    </w:p>
    <w:p>
      <w:pPr>
        <w:pStyle w:val="TextBody"/>
        <w:bidi w:val="0"/>
        <w:spacing w:before="120" w:after="0"/>
        <w:jc w:val="left"/>
        <w:rPr>
          <w:rFonts w:ascii="Times New Roman" w:hAnsi="Times New Roman"/>
          <w:sz w:val="20"/>
        </w:rPr>
      </w:pPr>
      <w:r>
        <w:rPr>
          <w:rFonts w:ascii="Times New Roman" w:hAnsi="Times New Roman"/>
          <w:sz w:val="20"/>
        </w:rPr>
        <w:t xml:space="preserve">Other information related to operating leases where the Group is the lessee is as follows: </w:t>
      </w:r>
    </w:p>
    <w:p>
      <w:pPr>
        <w:pStyle w:val="TextBody"/>
        <w:bidi w:val="0"/>
        <w:spacing w:before="0" w:after="0"/>
        <w:jc w:val="left"/>
        <w:rPr/>
      </w:pPr>
      <w:r>
        <w:rPr/>
        <w:t> </w:t>
      </w:r>
    </w:p>
    <w:tbl>
      <w:tblPr>
        <w:tblW w:w="7685" w:type="dxa"/>
        <w:jc w:val="left"/>
        <w:tblInd w:w="0" w:type="dxa"/>
        <w:tblLayout w:type="fixed"/>
        <w:tblCellMar>
          <w:top w:w="0" w:type="dxa"/>
          <w:left w:w="0" w:type="dxa"/>
          <w:bottom w:w="0" w:type="dxa"/>
          <w:right w:w="0" w:type="dxa"/>
        </w:tblCellMar>
      </w:tblPr>
      <w:tblGrid>
        <w:gridCol w:w="3440"/>
        <w:gridCol w:w="120"/>
        <w:gridCol w:w="60"/>
        <w:gridCol w:w="995"/>
        <w:gridCol w:w="275"/>
        <w:gridCol w:w="60"/>
        <w:gridCol w:w="60"/>
        <w:gridCol w:w="995"/>
        <w:gridCol w:w="275"/>
        <w:gridCol w:w="60"/>
        <w:gridCol w:w="60"/>
        <w:gridCol w:w="995"/>
        <w:gridCol w:w="29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3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Weighted-average remaining lease term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4.6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4.3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8.7 years</w:t>
            </w:r>
          </w:p>
        </w:tc>
        <w:tc>
          <w:tcPr>
            <w:tcW w:w="29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5.6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4.6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3.6 years</w:t>
            </w:r>
          </w:p>
        </w:tc>
        <w:tc>
          <w:tcPr>
            <w:tcW w:w="29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49.0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48.0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26.1 years</w:t>
            </w:r>
          </w:p>
        </w:tc>
        <w:tc>
          <w:tcPr>
            <w:tcW w:w="29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Weighted-average discount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4.88</w:t>
            </w:r>
          </w:p>
        </w:tc>
        <w:tc>
          <w:tcPr>
            <w:tcW w:w="29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4.90</w:t>
            </w:r>
          </w:p>
        </w:tc>
        <w:tc>
          <w:tcPr>
            <w:tcW w:w="29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4.90</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most of the leases do not provide an implicit rate of return, the Group used the incremental borrowing rate based on the information available at lease commencement date in determining the present value of lease payments. The Group elected to use the mortgage borrowing rate based on a similar borrowing term and amount with associated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Leases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lessee (continued) </w:t>
      </w:r>
    </w:p>
    <w:p>
      <w:pPr>
        <w:pStyle w:val="TextBody"/>
        <w:bidi w:val="0"/>
        <w:spacing w:before="120" w:after="0"/>
        <w:jc w:val="left"/>
        <w:rPr>
          <w:rFonts w:ascii="Times New Roman" w:hAnsi="Times New Roman"/>
          <w:sz w:val="20"/>
        </w:rPr>
      </w:pPr>
      <w:r>
        <w:rPr>
          <w:rFonts w:ascii="Times New Roman" w:hAnsi="Times New Roman"/>
          <w:sz w:val="20"/>
        </w:rPr>
        <w:t xml:space="preserve">Supplemental cash flow information related to leases where the Group is the lessee is as follows: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5780"/>
        <w:gridCol w:w="120"/>
        <w:gridCol w:w="60"/>
        <w:gridCol w:w="875"/>
        <w:gridCol w:w="155"/>
        <w:gridCol w:w="120"/>
        <w:gridCol w:w="60"/>
        <w:gridCol w:w="800"/>
        <w:gridCol w:w="60"/>
        <w:gridCol w:w="120"/>
        <w:gridCol w:w="60"/>
        <w:gridCol w:w="980"/>
        <w:gridCol w:w="75"/>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268,290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456,697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757,331</w:t>
            </w:r>
          </w:p>
        </w:tc>
        <w:tc>
          <w:tcPr>
            <w:tcW w:w="75" w:type="dxa"/>
            <w:tcBorders/>
            <w:vAlign w:val="center"/>
          </w:tcPr>
          <w:p>
            <w:pPr>
              <w:pStyle w:val="TableContents"/>
              <w:bidi w:val="0"/>
              <w:spacing w:before="0" w:after="0"/>
              <w:jc w:val="left"/>
              <w:rPr>
                <w:spacing w:val="0"/>
              </w:rPr>
            </w:pPr>
            <w:r>
              <w:rPr>
                <w:spacing w:val="0"/>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outflows from finance leases (interest payments)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40,205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outflows from finance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113,943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61,801</w:t>
            </w:r>
          </w:p>
        </w:tc>
        <w:tc>
          <w:tcPr>
            <w:tcW w:w="75"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Leased assets obtained in exchange for operating 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(316,558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3,704,284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maturities of the Group’s lease liabilities (excluding short-term leases) are as follows: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3380"/>
        <w:gridCol w:w="120"/>
        <w:gridCol w:w="91"/>
        <w:gridCol w:w="1609"/>
        <w:gridCol w:w="155"/>
        <w:gridCol w:w="120"/>
        <w:gridCol w:w="94"/>
        <w:gridCol w:w="1381"/>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Operating Lease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Finance Lease</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Within 1 year</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688,262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31,767</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1 and 2 years</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579,773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34,835</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619,573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31,767</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3 and 4 years</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984,346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825,955</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4 and 5 years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544,688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2,888,795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13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6,305,437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924,324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(1,612,937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(128,167</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13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obligations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4,692,500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796,157</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(445,901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(55,581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single" w:sz="2" w:space="1" w:color="000000"/>
              </w:rPr>
            </w:pPr>
            <w:r>
              <w:rPr>
                <w:bdr w:val="single" w:sz="2" w:space="1" w:color="000000"/>
              </w:rPr>
              <w:t> </w:t>
            </w:r>
          </w:p>
        </w:tc>
        <w:tc>
          <w:tcPr>
            <w:tcW w:w="16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13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 - current portion of lease obligations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0"/>
              <w:jc w:val="left"/>
              <w:rPr>
                <w:spacing w:val="0"/>
              </w:rPr>
            </w:pPr>
            <w:r>
              <w:rPr>
                <w:spacing w:val="0"/>
              </w:rPr>
              <w:t> </w:t>
            </w:r>
          </w:p>
        </w:tc>
        <w:tc>
          <w:tcPr>
            <w:tcW w:w="1609" w:type="dxa"/>
            <w:tcBorders/>
            <w:shd w:fill="CCEEFF" w:val="clear"/>
            <w:vAlign w:val="center"/>
          </w:tcPr>
          <w:p>
            <w:pPr>
              <w:pStyle w:val="TableContents"/>
              <w:bidi w:val="0"/>
              <w:spacing w:before="0" w:after="0"/>
              <w:jc w:val="right"/>
              <w:rPr>
                <w:b/>
                <w:spacing w:val="0"/>
              </w:rPr>
            </w:pPr>
            <w:r>
              <w:rPr>
                <w:b/>
                <w:spacing w:val="0"/>
              </w:rPr>
              <w:t>4,246,599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1381" w:type="dxa"/>
            <w:tcBorders/>
            <w:shd w:fill="CCEEFF" w:val="clear"/>
            <w:vAlign w:val="center"/>
          </w:tcPr>
          <w:p>
            <w:pPr>
              <w:pStyle w:val="TableContents"/>
              <w:bidi w:val="0"/>
              <w:spacing w:before="0" w:after="0"/>
              <w:jc w:val="right"/>
              <w:rPr>
                <w:b/>
                <w:spacing w:val="0"/>
              </w:rPr>
            </w:pPr>
            <w:r>
              <w:rPr>
                <w:b/>
                <w:spacing w:val="0"/>
              </w:rPr>
              <w:t>740,576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bdr w:val="double" w:sz="6" w:space="1" w:color="000000"/>
              </w:rPr>
            </w:pPr>
            <w:r>
              <w:rPr>
                <w:bdr w:val="double" w:sz="6" w:space="1" w:color="000000"/>
              </w:rPr>
              <w:t> </w:t>
            </w:r>
          </w:p>
        </w:tc>
        <w:tc>
          <w:tcPr>
            <w:tcW w:w="16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13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lessor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entered into leases of factories with third parties in December 2023 and January 2024, respectively. Each lease has a term of </w:t>
      </w:r>
    </w:p>
    <w:p>
      <w:pPr>
        <w:pStyle w:val="TextBody"/>
        <w:bidi w:val="0"/>
        <w:spacing w:before="120" w:after="0"/>
        <w:jc w:val="left"/>
        <w:rPr>
          <w:rFonts w:ascii="Times New Roman" w:hAnsi="Times New Roman"/>
          <w:sz w:val="20"/>
        </w:rPr>
      </w:pPr>
      <w:r>
        <w:rPr>
          <w:rFonts w:ascii="Times New Roman" w:hAnsi="Times New Roman"/>
          <w:sz w:val="20"/>
        </w:rPr>
        <w:t xml:space="preserve">15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years, and contains no extension or termination options. Initial direct costs associated with the leases were immaterial for all periods presented. The lease agreements contain no residual value guarantees, nor do they grant lessees the option to purchase the underlying assets at the end of the lease terms.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leases were classified as sales-type leases because the lease terms represent a major part of the remaining economic useful life of the underlying assets. Therefore, on the lease commencement date, the Group derecognized the underlying assets with amount of RMB194,284 and RMB</w:t>
      </w:r>
    </w:p>
    <w:p>
      <w:pPr>
        <w:pStyle w:val="TextBody"/>
        <w:bidi w:val="0"/>
        <w:spacing w:before="120" w:after="0"/>
        <w:jc w:val="left"/>
        <w:rPr>
          <w:rFonts w:ascii="Times New Roman" w:hAnsi="Times New Roman"/>
          <w:sz w:val="20"/>
        </w:rPr>
      </w:pPr>
      <w:r>
        <w:rPr>
          <w:rFonts w:ascii="Times New Roman" w:hAnsi="Times New Roman"/>
          <w:sz w:val="20"/>
        </w:rPr>
        <w:t xml:space="preserve">36,743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December, 2023 and January, 2024, respectively, and recognized accordingly the net investment in the lease with amount of RMB216,218 and RMB</w:t>
      </w:r>
    </w:p>
    <w:p>
      <w:pPr>
        <w:pStyle w:val="TextBody"/>
        <w:bidi w:val="0"/>
        <w:spacing w:before="120" w:after="0"/>
        <w:jc w:val="left"/>
        <w:rPr>
          <w:rFonts w:ascii="Times New Roman" w:hAnsi="Times New Roman"/>
          <w:sz w:val="20"/>
        </w:rPr>
      </w:pPr>
      <w:r>
        <w:rPr>
          <w:rFonts w:ascii="Times New Roman" w:hAnsi="Times New Roman"/>
          <w:sz w:val="20"/>
        </w:rPr>
        <w:t>4,477</w:t>
      </w:r>
    </w:p>
    <w:p>
      <w:pPr>
        <w:pStyle w:val="TextBody"/>
        <w:bidi w:val="0"/>
        <w:spacing w:before="120" w:after="0"/>
        <w:jc w:val="left"/>
        <w:rPr>
          <w:rFonts w:ascii="Times New Roman" w:hAnsi="Times New Roman"/>
          <w:spacing w:val="0"/>
          <w:sz w:val="20"/>
        </w:rPr>
      </w:pPr>
      <w:r>
        <w:rPr>
          <w:rFonts w:ascii="Times New Roman" w:hAnsi="Times New Roman"/>
          <w:spacing w:val="0"/>
          <w:sz w:val="20"/>
        </w:rPr>
        <w:t>, respectively, which represents the present value of the lease receivables and the amount that a lessor expects to derive from the underlying assets following the end of the lease terms. The Group also recorded the gain with amount of RMB2,116 and RMB</w:t>
      </w:r>
    </w:p>
    <w:p>
      <w:pPr>
        <w:pStyle w:val="TextBody"/>
        <w:bidi w:val="0"/>
        <w:spacing w:before="120" w:after="0"/>
        <w:jc w:val="left"/>
        <w:rPr>
          <w:rFonts w:ascii="Times New Roman" w:hAnsi="Times New Roman"/>
          <w:sz w:val="20"/>
        </w:rPr>
      </w:pPr>
      <w:r>
        <w:rPr>
          <w:rFonts w:ascii="Times New Roman" w:hAnsi="Times New Roman"/>
          <w:sz w:val="20"/>
        </w:rPr>
        <w:t xml:space="preserve">135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“Selling, general and administrative expenses” on the consolidated statements of comprehensive loss for the years ended December 31, 2023 and 2024. The Group did not enter into any new sales-type leases arrangement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18. Leases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lessor (continued)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balances for the factory lease where the Group is the lessor are presented as follows: </w:t>
      </w:r>
    </w:p>
    <w:p>
      <w:pPr>
        <w:pStyle w:val="TextBody"/>
        <w:bidi w:val="0"/>
        <w:spacing w:before="0" w:after="0"/>
        <w:jc w:val="left"/>
        <w:rPr/>
      </w:pPr>
      <w:r>
        <w:rPr/>
        <w:t> </w:t>
      </w:r>
    </w:p>
    <w:tbl>
      <w:tblPr>
        <w:tblW w:w="5797" w:type="dxa"/>
        <w:jc w:val="left"/>
        <w:tblInd w:w="0" w:type="dxa"/>
        <w:tblLayout w:type="fixed"/>
        <w:tblCellMar>
          <w:top w:w="0" w:type="dxa"/>
          <w:left w:w="0" w:type="dxa"/>
          <w:bottom w:w="0" w:type="dxa"/>
          <w:right w:w="0" w:type="dxa"/>
        </w:tblCellMar>
      </w:tblPr>
      <w:tblGrid>
        <w:gridCol w:w="3665"/>
        <w:gridCol w:w="120"/>
        <w:gridCol w:w="61"/>
        <w:gridCol w:w="816"/>
        <w:gridCol w:w="61"/>
        <w:gridCol w:w="122"/>
        <w:gridCol w:w="61"/>
        <w:gridCol w:w="816"/>
        <w:gridCol w:w="75"/>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receivable, current portion, net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11,388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11,687</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receivables,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net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204,435</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194,911</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6" w:type="dxa"/>
            <w:tcBorders/>
            <w:vAlign w:val="center"/>
          </w:tcPr>
          <w:p>
            <w:pPr>
              <w:pStyle w:val="TableContents"/>
              <w:bidi w:val="0"/>
              <w:spacing w:before="0" w:after="0"/>
              <w:jc w:val="left"/>
              <w:rPr>
                <w:bdr w:val="single" w:sz="2" w:space="1" w:color="000000"/>
              </w:rPr>
            </w:pPr>
            <w:r>
              <w:rPr>
                <w:bdr w:val="single" w:sz="2"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finance lease receivables, net</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16" w:type="dxa"/>
            <w:tcBorders/>
            <w:shd w:fill="CCEEFF" w:val="clear"/>
            <w:vAlign w:val="center"/>
          </w:tcPr>
          <w:p>
            <w:pPr>
              <w:pStyle w:val="TableContents"/>
              <w:bidi w:val="0"/>
              <w:spacing w:before="0" w:after="0"/>
              <w:jc w:val="right"/>
              <w:rPr>
                <w:b/>
                <w:spacing w:val="0"/>
              </w:rPr>
            </w:pPr>
            <w:r>
              <w:rPr>
                <w:b/>
                <w:spacing w:val="0"/>
              </w:rPr>
              <w:t>215,823</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16" w:type="dxa"/>
            <w:tcBorders/>
            <w:shd w:fill="CCEEFF" w:val="clear"/>
            <w:vAlign w:val="center"/>
          </w:tcPr>
          <w:p>
            <w:pPr>
              <w:pStyle w:val="TableContents"/>
              <w:bidi w:val="0"/>
              <w:spacing w:before="0" w:after="0"/>
              <w:jc w:val="right"/>
              <w:rPr>
                <w:b/>
                <w:spacing w:val="0"/>
              </w:rPr>
            </w:pPr>
            <w:r>
              <w:rPr>
                <w:b/>
                <w:spacing w:val="0"/>
              </w:rPr>
              <w:t>206,598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16"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1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net investment in sales-type lease consisted of: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3740"/>
        <w:gridCol w:w="120"/>
        <w:gridCol w:w="60"/>
        <w:gridCol w:w="800"/>
        <w:gridCol w:w="155"/>
        <w:gridCol w:w="120"/>
        <w:gridCol w:w="60"/>
        <w:gridCol w:w="800"/>
        <w:gridCol w:w="170"/>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minimum lease payments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231,621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215,619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Unearned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(45,796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(40,322</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Unguaranteed residuals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31,301</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investment in lease payments receivable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215,823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206,598</w:t>
            </w:r>
          </w:p>
        </w:tc>
        <w:tc>
          <w:tcPr>
            <w:tcW w:w="170" w:type="dxa"/>
            <w:tcBorders/>
            <w:vAlign w:val="center"/>
          </w:tcPr>
          <w:p>
            <w:pPr>
              <w:pStyle w:val="TableContents"/>
              <w:bidi w:val="0"/>
              <w:spacing w:before="0" w:after="0"/>
              <w:jc w:val="left"/>
              <w:rPr>
                <w:spacing w:val="0"/>
              </w:rPr>
            </w:pPr>
            <w:r>
              <w:rPr>
                <w:spacing w:val="0"/>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11,687</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204,435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194,911</w:t>
            </w:r>
          </w:p>
        </w:tc>
        <w:tc>
          <w:tcPr>
            <w:tcW w:w="170" w:type="dxa"/>
            <w:tcBorders/>
            <w:vAlign w:val="center"/>
          </w:tcPr>
          <w:p>
            <w:pPr>
              <w:pStyle w:val="TableContents"/>
              <w:bidi w:val="0"/>
              <w:spacing w:before="0" w:after="0"/>
              <w:jc w:val="left"/>
              <w:rPr>
                <w:spacing w:val="0"/>
              </w:rPr>
            </w:pPr>
            <w:r>
              <w:rPr>
                <w:spacing w:val="0"/>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Future minimum lease payments to be received for the sales-type leases are as follows: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2630"/>
        <w:gridCol w:w="120"/>
        <w:gridCol w:w="60"/>
        <w:gridCol w:w="800"/>
        <w:gridCol w:w="155"/>
        <w:gridCol w:w="120"/>
        <w:gridCol w:w="60"/>
        <w:gridCol w:w="800"/>
        <w:gridCol w:w="170"/>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Within 1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27,602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16,002</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1 and 2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16,002</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16,002</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3 and 4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16,002</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4 and 5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16,002</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140,011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135,609</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minimum lease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215,619</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Unearned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(45,796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(40,322</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Unguaranteed residuals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31,301</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investment in finance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215,823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206,598</w:t>
            </w:r>
          </w:p>
        </w:tc>
        <w:tc>
          <w:tcPr>
            <w:tcW w:w="170" w:type="dxa"/>
            <w:tcBorders/>
            <w:vAlign w:val="center"/>
          </w:tcPr>
          <w:p>
            <w:pPr>
              <w:pStyle w:val="TableContents"/>
              <w:bidi w:val="0"/>
              <w:spacing w:before="0" w:after="0"/>
              <w:jc w:val="left"/>
              <w:rPr>
                <w:spacing w:val="0"/>
              </w:rPr>
            </w:pPr>
            <w:r>
              <w:rPr>
                <w:spacing w:val="0"/>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19. 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by source consisted of the following: </w:t>
      </w:r>
    </w:p>
    <w:p>
      <w:pPr>
        <w:pStyle w:val="TextBody"/>
        <w:bidi w:val="0"/>
        <w:spacing w:before="0" w:after="0"/>
        <w:jc w:val="left"/>
        <w:rPr/>
      </w:pPr>
      <w:r>
        <w:rPr/>
        <w:t> </w:t>
      </w:r>
    </w:p>
    <w:tbl>
      <w:tblPr>
        <w:tblW w:w="5630" w:type="dxa"/>
        <w:jc w:val="left"/>
        <w:tblInd w:w="0" w:type="dxa"/>
        <w:tblLayout w:type="fixed"/>
        <w:tblCellMar>
          <w:top w:w="0" w:type="dxa"/>
          <w:left w:w="0" w:type="dxa"/>
          <w:bottom w:w="0" w:type="dxa"/>
          <w:right w:w="0" w:type="dxa"/>
        </w:tblCellMar>
      </w:tblPr>
      <w:tblGrid>
        <w:gridCol w:w="1595"/>
        <w:gridCol w:w="120"/>
        <w:gridCol w:w="60"/>
        <w:gridCol w:w="1100"/>
        <w:gridCol w:w="60"/>
        <w:gridCol w:w="120"/>
        <w:gridCol w:w="60"/>
        <w:gridCol w:w="1100"/>
        <w:gridCol w:w="60"/>
        <w:gridCol w:w="120"/>
        <w:gridCol w:w="60"/>
        <w:gridCol w:w="110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28,010,857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35,829,402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68,378,920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Services and 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2,665,210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5,036,907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8,340,822</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30,676,067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40,866,309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76,719,742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20. Deferred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reconciliation in the current reporting period related to carried-forward deferred revenue. </w:t>
      </w:r>
    </w:p>
    <w:p>
      <w:pPr>
        <w:pStyle w:val="TextBody"/>
        <w:bidi w:val="0"/>
        <w:spacing w:before="0" w:after="0"/>
        <w:jc w:val="left"/>
        <w:rPr/>
      </w:pPr>
      <w:r>
        <w:rPr/>
        <w:t> </w:t>
      </w:r>
    </w:p>
    <w:tbl>
      <w:tblPr>
        <w:tblW w:w="7730" w:type="dxa"/>
        <w:jc w:val="left"/>
        <w:tblInd w:w="0" w:type="dxa"/>
        <w:tblLayout w:type="fixed"/>
        <w:tblCellMar>
          <w:top w:w="0" w:type="dxa"/>
          <w:left w:w="0" w:type="dxa"/>
          <w:bottom w:w="0" w:type="dxa"/>
          <w:right w:w="0" w:type="dxa"/>
        </w:tblCellMar>
      </w:tblPr>
      <w:tblGrid>
        <w:gridCol w:w="3185"/>
        <w:gridCol w:w="120"/>
        <w:gridCol w:w="60"/>
        <w:gridCol w:w="1175"/>
        <w:gridCol w:w="155"/>
        <w:gridCol w:w="120"/>
        <w:gridCol w:w="60"/>
        <w:gridCol w:w="1175"/>
        <w:gridCol w:w="155"/>
        <w:gridCol w:w="120"/>
        <w:gridCol w:w="60"/>
        <w:gridCol w:w="1175"/>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5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 - beginning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1,083,249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1,299,943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2,098,435</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28,513,918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38,634,319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73,353,774</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(28,297,224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(37,835,827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(72,783,130</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 - end of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1,299,943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2,098,435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2,669,079</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Deferred revenue,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(630,997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(1,275,716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(1,463,065</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Deferred revenue,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668,946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822,719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1,206,014</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Deferred revenue represents transaction price allocated to the performance obligations that are not yet satisfied or partially satisfied, which primarily arises from the undelivered vehicles, technical research and development services, lifetime warranty of battery and other performance obligations identified in the vehicle sales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Group expects that 55% of transaction price allocated to unsatisfied performance obligations which were accounted for as deferred revenue as of December 31, 2025 will be recognized as revenue during the period from January 1, 2026 to December 31, 2026. The remaining 45% will be substantially recognized during the period from January 1, 2027 to December 31, 2036.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21. Manufacturing in Collaboration with Haima Auto </w:t>
      </w:r>
    </w:p>
    <w:p>
      <w:pPr>
        <w:pStyle w:val="TextBody"/>
        <w:bidi w:val="0"/>
        <w:spacing w:before="120" w:after="0"/>
        <w:jc w:val="left"/>
        <w:rPr>
          <w:rFonts w:ascii="Times New Roman" w:hAnsi="Times New Roman"/>
          <w:sz w:val="20"/>
        </w:rPr>
      </w:pPr>
      <w:r>
        <w:rPr>
          <w:rFonts w:ascii="Times New Roman" w:hAnsi="Times New Roman"/>
          <w:sz w:val="20"/>
        </w:rPr>
        <w:t xml:space="preserve">On March 31, 2017, the Group entered into </w:t>
      </w:r>
    </w:p>
    <w:p>
      <w:pPr>
        <w:pStyle w:val="TextBody"/>
        <w:bidi w:val="0"/>
        <w:spacing w:before="120" w:after="0"/>
        <w:jc w:val="left"/>
        <w:rPr>
          <w:rFonts w:ascii="Times New Roman" w:hAnsi="Times New Roman"/>
          <w:sz w:val="20"/>
        </w:rPr>
      </w:pPr>
      <w:r>
        <w:rPr>
          <w:rFonts w:ascii="Times New Roman" w:hAnsi="Times New Roman"/>
          <w:sz w:val="20"/>
        </w:rPr>
        <w:t>an</w:t>
      </w:r>
    </w:p>
    <w:p>
      <w:pPr>
        <w:pStyle w:val="TextBody"/>
        <w:bidi w:val="0"/>
        <w:spacing w:before="120" w:after="0"/>
        <w:jc w:val="left"/>
        <w:rPr>
          <w:rFonts w:ascii="Times New Roman" w:hAnsi="Times New Roman"/>
          <w:sz w:val="20"/>
        </w:rPr>
      </w:pPr>
      <w:r>
        <w:rPr>
          <w:rFonts w:ascii="Times New Roman" w:hAnsi="Times New Roman"/>
          <w:sz w:val="20"/>
        </w:rPr>
        <w:t xml:space="preserve">arrangement with Haima Auto for the manufacture of vehicles. The agreement was expired on December 31, 2021, and such agreements were renewable by mutual consent. Pursuant to the arrangement, starting from 2018, Haima Auto provides an annual production capacity of 50,000 units, for the manufacturing of G3. While Haima is in charge of the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day-to-day</w:t>
      </w:r>
    </w:p>
    <w:p>
      <w:pPr>
        <w:pStyle w:val="TextBody"/>
        <w:bidi w:val="0"/>
        <w:spacing w:before="120" w:after="0"/>
        <w:jc w:val="left"/>
        <w:rPr>
          <w:rFonts w:ascii="Times New Roman" w:hAnsi="Times New Roman"/>
          <w:sz w:val="20"/>
        </w:rPr>
      </w:pPr>
      <w:r>
        <w:rPr>
          <w:rFonts w:ascii="Times New Roman" w:hAnsi="Times New Roman"/>
          <w:sz w:val="20"/>
        </w:rPr>
        <w:t xml:space="preserve">operations of the plant, the Group retains effective control over the supply chain, the manufacturing process, testing and quality control. For each vehicle produced, the Group will incur manufacturing cost on a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per-vehicle</w:t>
      </w:r>
    </w:p>
    <w:p>
      <w:pPr>
        <w:pStyle w:val="TextBody"/>
        <w:bidi w:val="0"/>
        <w:spacing w:before="120" w:after="0"/>
        <w:jc w:val="left"/>
        <w:rPr>
          <w:rFonts w:ascii="Times New Roman" w:hAnsi="Times New Roman"/>
          <w:sz w:val="20"/>
        </w:rPr>
      </w:pPr>
      <w:r>
        <w:rPr>
          <w:rFonts w:ascii="Times New Roman" w:hAnsi="Times New Roman"/>
          <w:sz w:val="20"/>
        </w:rPr>
        <w:t xml:space="preserve">basis monthly. The Group did not have any compensation or fees for Haima Auto other than the aforementioned manufacturing cost. </w:t>
      </w:r>
    </w:p>
    <w:p>
      <w:pPr>
        <w:pStyle w:val="TextBody"/>
        <w:bidi w:val="0"/>
        <w:spacing w:before="120" w:after="0"/>
        <w:jc w:val="left"/>
        <w:rPr>
          <w:rFonts w:ascii="Times New Roman" w:hAnsi="Times New Roman"/>
          <w:sz w:val="20"/>
        </w:rPr>
      </w:pPr>
      <w:r>
        <w:rPr>
          <w:rFonts w:ascii="Times New Roman" w:hAnsi="Times New Roman"/>
          <w:sz w:val="20"/>
        </w:rPr>
        <w:t xml:space="preserve">In consideration of commercial development needs, the Group and Haima came to a mutual consent that the former agreement would not be renewed and signed a transitional agreement in August 2021 for the termination of the manufacturing of vehicles in Haima plant and the corresponding relocation arrangements. As a result of the transitional and relocation agreement, relocation and disposal costs were incurred and borne by the Group, of which RMB132,856 was recognized as other operating expenses for the year ended December 31, 2021. Furthermore, RMB2,830 additional costs was recognized as other operating expenses for the year ended December 31, 2024. The relocation and disposal costs of RMB98,861 were or will be incurred in the form of cash, while the remaining amounts were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RMB43,903, RMB4,166 and RMB1,427 were paid in cash,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22.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1,538,109,009 Class A ordinary shares had been issued, out of which, 1,535,297,395 Class A ordinary shares were outstanding, and 348,708,257 Class B ordinary shares had been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22. Ordinary Shares (continued) </w:t>
      </w:r>
    </w:p>
    <w:p>
      <w:pPr>
        <w:pStyle w:val="TextBody"/>
        <w:bidi w:val="0"/>
        <w:spacing w:before="120" w:after="0"/>
        <w:jc w:val="left"/>
        <w:rPr>
          <w:rFonts w:ascii="Times New Roman" w:hAnsi="Times New Roman"/>
          <w:sz w:val="20"/>
        </w:rPr>
      </w:pPr>
      <w:r>
        <w:rPr>
          <w:rFonts w:ascii="Times New Roman" w:hAnsi="Times New Roman"/>
          <w:sz w:val="20"/>
        </w:rPr>
        <w:t xml:space="preserve">The Group issued 8,963,906 Class A ordinary shares for the year ended December 31, 2024, out of which, 1,010,502 Class A ordinary shares are outstanding and transferred to employees for the vested RSUs and 7,953,404 Class A ordinary shares are treasury shares held by XPeng Inc. </w:t>
      </w:r>
    </w:p>
    <w:p>
      <w:pPr>
        <w:pStyle w:val="TextBody"/>
        <w:bidi w:val="0"/>
        <w:spacing w:before="120" w:after="0"/>
        <w:jc w:val="left"/>
        <w:rPr>
          <w:rFonts w:ascii="Times New Roman" w:hAnsi="Times New Roman"/>
          <w:sz w:val="20"/>
        </w:rPr>
      </w:pPr>
      <w:r>
        <w:rPr>
          <w:rFonts w:ascii="Times New Roman" w:hAnsi="Times New Roman"/>
          <w:sz w:val="20"/>
        </w:rPr>
        <w:t xml:space="preserve">XPeng Inc. and XPeng Fortune Holding Limited transferred 8,460,156 Class A treasury shares to employees for the vested RSUs for the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Group allotted and issued 4,636,447 Class A ordinary shares as the SOP Consideration Shares to DiDi pursuant to the acquisition of DiDi’s smart auto business (Note 5).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1,551,709,362 Class A ordinary shares had been issued, out of which, 1,549,404,500 Class A ordinary shares were outstanding, and 348,708,257 Class B ordinary shares had been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Group issued 11,235,248 Class A ordinary shares for the year ended December 31, 2025, out of which, 982,968 Class A ordinary shares are outstanding and transferred to employees for the vested RSUs and 10,252,280 Class A ordinary shares are treasury shares held by XPeng Inc. </w:t>
      </w:r>
    </w:p>
    <w:p>
      <w:pPr>
        <w:pStyle w:val="TextBody"/>
        <w:bidi w:val="0"/>
        <w:spacing w:before="120" w:after="0"/>
        <w:jc w:val="left"/>
        <w:rPr>
          <w:rFonts w:ascii="Times New Roman" w:hAnsi="Times New Roman"/>
          <w:sz w:val="20"/>
        </w:rPr>
      </w:pPr>
      <w:r>
        <w:rPr>
          <w:rFonts w:ascii="Times New Roman" w:hAnsi="Times New Roman"/>
          <w:sz w:val="20"/>
        </w:rPr>
        <w:t xml:space="preserve">XPeng Inc. and XPeng Fortune Holding Limited transferred 9,604,040 Class A treasury shares to employees and independent directors for the vested RSUs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1,562,944,610 Class A ordinary shares had been issued, out of which, 1,559,991,508 Class A ordinary shares were outstanding, and 348,708,257 Class B ordinary shares had been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23. Share-based Compensation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2019 Equity Incentive Plan (the “2019 Plan”)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2020, the board of directors of the Company approved the 2019 Plan with 161,462,100 Class A ordinary shares reserved. Options, restricted shares, RSUs, dividend equivalents, share appreciation rights and share payments may be granted under the 2019 Plan. </w:t>
      </w:r>
    </w:p>
    <w:p>
      <w:pPr>
        <w:pStyle w:val="TextBody"/>
        <w:bidi w:val="0"/>
        <w:spacing w:before="120" w:after="0"/>
        <w:jc w:val="left"/>
        <w:rPr>
          <w:rFonts w:ascii="Times New Roman" w:hAnsi="Times New Roman"/>
          <w:sz w:val="20"/>
        </w:rPr>
      </w:pPr>
      <w:r>
        <w:rPr>
          <w:rFonts w:ascii="Times New Roman" w:hAnsi="Times New Roman"/>
          <w:sz w:val="20"/>
        </w:rPr>
        <w:t xml:space="preserve">One RSU represents a right relating to one Class A ordinary share of the Group with a par value of US$0.00001 per share. </w:t>
      </w:r>
    </w:p>
    <w:p>
      <w:pPr>
        <w:pStyle w:val="TextBody"/>
        <w:bidi w:val="0"/>
        <w:spacing w:before="120" w:after="0"/>
        <w:jc w:val="left"/>
        <w:rPr>
          <w:rFonts w:ascii="Times New Roman" w:hAnsi="Times New Roman"/>
          <w:sz w:val="20"/>
        </w:rPr>
      </w:pPr>
      <w:r>
        <w:rPr>
          <w:rFonts w:ascii="Times New Roman" w:hAnsi="Times New Roman"/>
          <w:sz w:val="20"/>
        </w:rPr>
        <w:t xml:space="preserve">The RSUs primarily include both service and performance conditions. For service condition, vesting schedules include: (i) 25% of the RSUs shall become vested on each anniversary of the vesting commencement date for four years thereafter; (ii) 40% of the RSUs shall become vested on the grant date and 15% of the RSUs become vested on each anniversary of the vesting commencement date for four years thereafter; (iii) 25% of the RSUs shall become vested on the first anniversary of the vesting commencement date, and the remaining 75% of the RSUs shall become vested in equal installments on each quarterly anniversary of the vesting commencement date for three years thereafter. In addition to the service conditions, for the RSUs granted prior to the completion of the IPO, employees are also required to provide continued service through the satisfaction of the occurrence of change of control or an IPO (“Liquidity Event”) that occurs within seven or ten years after the vesting commencement date. For RSUs with performance conditions which were granted subsequent to the completion of the IPO, employees are required to achieve the performance targets relating to performance appraisal results as set out in the respective relevant award agreements over the respective requisite service period. </w:t>
      </w:r>
    </w:p>
    <w:p>
      <w:pPr>
        <w:pStyle w:val="TextBody"/>
        <w:bidi w:val="0"/>
        <w:spacing w:before="120" w:after="0"/>
        <w:jc w:val="left"/>
        <w:rPr>
          <w:rFonts w:ascii="Times New Roman" w:hAnsi="Times New Roman"/>
          <w:sz w:val="20"/>
        </w:rPr>
      </w:pPr>
      <w:r>
        <w:rPr>
          <w:rFonts w:ascii="Times New Roman" w:hAnsi="Times New Roman"/>
          <w:sz w:val="20"/>
        </w:rPr>
        <w:t xml:space="preserve">The RSUs granted prior to the completion of the IPO are measured at the grant date fair value of the awards and recognized as expense using the graded vesting method, net of estimated forfeitures, if any, over the requisite service period.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Subsequent to the completion of the IPO, RSUs with only a service condition to employees under the 2019 Plan are recognized on a straight-line basis net of estimated forfeitures, if any, over the requisite service period. RSUs with both service and performance conditions are recognized as expenses using the graded vesting method, net of estimated forfeitures, if any, over the requisite service period, when the performance condition is concluded to be probable to achieve.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23. Share-based Compensation (continued)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summary of the Group’s RSU activity under the 2019 Plan for the years ended December 31, 2023, 2024 and 2025 were as follows: </w:t>
      </w:r>
    </w:p>
    <w:p>
      <w:pPr>
        <w:pStyle w:val="TextBody"/>
        <w:bidi w:val="0"/>
        <w:spacing w:before="0" w:after="0"/>
        <w:jc w:val="left"/>
        <w:rPr/>
      </w:pPr>
      <w:r>
        <w:rPr/>
        <w:t> </w:t>
      </w:r>
    </w:p>
    <w:tbl>
      <w:tblPr>
        <w:tblW w:w="8510" w:type="dxa"/>
        <w:jc w:val="left"/>
        <w:tblInd w:w="0" w:type="dxa"/>
        <w:tblLayout w:type="fixed"/>
        <w:tblCellMar>
          <w:top w:w="0" w:type="dxa"/>
          <w:left w:w="0" w:type="dxa"/>
          <w:bottom w:w="0" w:type="dxa"/>
          <w:right w:w="0" w:type="dxa"/>
        </w:tblCellMar>
      </w:tblPr>
      <w:tblGrid>
        <w:gridCol w:w="3425"/>
        <w:gridCol w:w="120"/>
        <w:gridCol w:w="104"/>
        <w:gridCol w:w="2046"/>
        <w:gridCol w:w="155"/>
        <w:gridCol w:w="120"/>
        <w:gridCol w:w="238"/>
        <w:gridCol w:w="2227"/>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50" w:type="dxa"/>
            <w:gridSpan w:val="2"/>
            <w:tcBorders/>
            <w:vAlign w:val="center"/>
          </w:tcPr>
          <w:p>
            <w:pPr>
              <w:pStyle w:val="TableContents"/>
              <w:bidi w:val="0"/>
              <w:spacing w:before="0" w:after="0"/>
              <w:jc w:val="center"/>
              <w:rPr>
                <w:b/>
                <w:spacing w:val="0"/>
              </w:rPr>
            </w:pPr>
            <w:r>
              <w:rPr>
                <w:b/>
                <w:spacing w:val="0"/>
              </w:rPr>
              <w:t>Number of restricted</w:t>
              <w:br/>
              <w:t>share units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65" w:type="dxa"/>
            <w:gridSpan w:val="2"/>
            <w:tcBorders/>
            <w:vAlign w:val="center"/>
          </w:tcPr>
          <w:p>
            <w:pPr>
              <w:pStyle w:val="TableContents"/>
              <w:bidi w:val="0"/>
              <w:spacing w:before="0" w:after="0"/>
              <w:jc w:val="center"/>
              <w:rPr>
                <w:b/>
                <w:spacing w:val="0"/>
              </w:rPr>
            </w:pPr>
            <w:r>
              <w:rPr>
                <w:b/>
                <w:spacing w:val="0"/>
              </w:rPr>
              <w:t>Weighted average grant</w:t>
              <w:br/>
              <w:t>date fair value</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5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65"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35,995,906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59.72</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15,177,322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39.31</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(11,276,824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55.66</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(10,701,587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51.52</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29,194,817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54.42</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2023</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24,487,867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Number of restricted</w:t>
              <w:br/>
              <w:t>share units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0"/>
              <w:jc w:val="center"/>
              <w:rPr>
                <w:b/>
                <w:spacing w:val="0"/>
              </w:rPr>
            </w:pPr>
            <w:r>
              <w:rPr>
                <w:b/>
                <w:spacing w:val="0"/>
              </w:rPr>
              <w:t>Weighted average grant</w:t>
              <w:br/>
              <w:t>date fair value</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29,194,817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54.42</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17,812,098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31.01</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(9,466,806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55.93</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(6,274,291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60.27</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31,265,818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40.07</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2024</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25,950,949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2660" w:type="dxa"/>
            <w:gridSpan w:val="4"/>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Number of restricted</w:t>
              <w:br/>
              <w:t>share units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0"/>
              <w:jc w:val="center"/>
              <w:rPr>
                <w:b/>
                <w:spacing w:val="0"/>
              </w:rPr>
            </w:pPr>
            <w:r>
              <w:rPr>
                <w:b/>
                <w:spacing w:val="0"/>
              </w:rPr>
              <w:t>Weighted average grant</w:t>
              <w:br/>
              <w:t>date fair value</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31,265,818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40.07</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5,121,904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59.37</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(10,575,870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48.59</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(4,133,306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2227" w:type="dxa"/>
            <w:tcBorders/>
            <w:vAlign w:val="center"/>
          </w:tcPr>
          <w:p>
            <w:pPr>
              <w:pStyle w:val="TableContents"/>
              <w:bidi w:val="0"/>
              <w:spacing w:before="0" w:after="283"/>
              <w:jc w:val="right"/>
              <w:rPr/>
            </w:pPr>
            <w:r>
              <w:rPr/>
              <w:t>43.59</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2025</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46" w:type="dxa"/>
            <w:tcBorders/>
            <w:shd w:fill="CCEEFF" w:val="clear"/>
            <w:vAlign w:val="center"/>
          </w:tcPr>
          <w:p>
            <w:pPr>
              <w:pStyle w:val="TableContents"/>
              <w:bidi w:val="0"/>
              <w:spacing w:before="0" w:after="283"/>
              <w:jc w:val="right"/>
              <w:rPr/>
            </w:pPr>
            <w:r>
              <w:rPr/>
              <w:t>21,678,546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227" w:type="dxa"/>
            <w:tcBorders/>
            <w:shd w:fill="CCEEFF" w:val="clear"/>
            <w:vAlign w:val="center"/>
          </w:tcPr>
          <w:p>
            <w:pPr>
              <w:pStyle w:val="TableContents"/>
              <w:bidi w:val="0"/>
              <w:spacing w:before="0" w:after="283"/>
              <w:jc w:val="right"/>
              <w:rPr/>
            </w:pPr>
            <w:r>
              <w:rPr/>
              <w:t>40.45</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bdr w:val="single" w:sz="2" w:space="1" w:color="000000"/>
              </w:rPr>
            </w:pPr>
            <w:r>
              <w:rPr>
                <w:bdr w:val="single" w:sz="2" w:space="1" w:color="000000"/>
              </w:rPr>
              <w:t> </w:t>
            </w:r>
          </w:p>
        </w:tc>
        <w:tc>
          <w:tcPr>
            <w:tcW w:w="20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2025</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right"/>
              <w:rPr/>
            </w:pPr>
            <w:r>
              <w:rPr/>
              <w:t>18,454,254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For the years ended December 31, 2023, 2024 and 2025, share-based compensation expense of RMB</w:t>
      </w:r>
    </w:p>
    <w:p>
      <w:pPr>
        <w:pStyle w:val="TextBody"/>
        <w:bidi w:val="0"/>
        <w:spacing w:before="240" w:after="0"/>
        <w:jc w:val="left"/>
        <w:rPr>
          <w:rFonts w:ascii="Times New Roman" w:hAnsi="Times New Roman"/>
          <w:sz w:val="20"/>
        </w:rPr>
      </w:pPr>
      <w:r>
        <w:rPr>
          <w:rFonts w:ascii="Times New Roman" w:hAnsi="Times New Roman"/>
          <w:sz w:val="20"/>
        </w:rPr>
        <w:t xml:space="preserve">550,535, RMB473,655 and RMB416,238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was recognized for the RSUs granted under the 2019 Plan, respectively.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As of December 31, 2025, total unrecognized compensation expense related to the 2019 Plan amounted to RMB</w:t>
      </w:r>
    </w:p>
    <w:p>
      <w:pPr>
        <w:pStyle w:val="TextBody"/>
        <w:bidi w:val="0"/>
        <w:spacing w:before="120" w:after="0"/>
        <w:jc w:val="left"/>
        <w:rPr>
          <w:rFonts w:ascii="Times New Roman" w:hAnsi="Times New Roman"/>
          <w:sz w:val="20"/>
        </w:rPr>
      </w:pPr>
      <w:r>
        <w:rPr>
          <w:rFonts w:ascii="Times New Roman" w:hAnsi="Times New Roman"/>
          <w:sz w:val="20"/>
        </w:rPr>
        <w:t>511,275</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 Except for the 2022 Performance Based Award mentioned below, the expense is expected to be recognized over a weighted average period of </w:t>
      </w:r>
    </w:p>
    <w:p>
      <w:pPr>
        <w:pStyle w:val="TextBody"/>
        <w:bidi w:val="0"/>
        <w:spacing w:before="120" w:after="0"/>
        <w:jc w:val="left"/>
        <w:rPr>
          <w:rFonts w:ascii="Times New Roman" w:hAnsi="Times New Roman"/>
          <w:sz w:val="20"/>
        </w:rPr>
      </w:pPr>
      <w:r>
        <w:rPr>
          <w:rFonts w:ascii="Times New Roman" w:hAnsi="Times New Roman"/>
          <w:sz w:val="20"/>
        </w:rPr>
        <w:t xml:space="preserve">2.44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years and may be adjusted for future changes in forfeitures.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12,922, 3,850 and 9,072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RSUs were granted to the Company’s independent directors under the 2019 Plan, respectively. The RSUs were not subject to any vesting conditions and were vested upon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23. Share-based Compensation (continued)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2025 Share Incentive Scheme (the “2025 Scheme”)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2025 Scheme was adopted by the Board on March 18, 2025 and approved by the shareholders at the annual general meeting of the Company on June 27, 2025. The total number of Class A ordinary shares which may be issued in respect of all awards to be granted under the 2025 Scheme and any other share schemes or plans of the Company, shall not in aggregate exceed </w:t>
      </w:r>
    </w:p>
    <w:p>
      <w:pPr>
        <w:pStyle w:val="TextBody"/>
        <w:bidi w:val="0"/>
        <w:spacing w:before="120" w:after="0"/>
        <w:jc w:val="left"/>
        <w:rPr>
          <w:rFonts w:ascii="Times New Roman" w:hAnsi="Times New Roman"/>
          <w:sz w:val="20"/>
        </w:rPr>
      </w:pPr>
      <w:r>
        <w:rPr>
          <w:rFonts w:ascii="Times New Roman" w:hAnsi="Times New Roman"/>
          <w:sz w:val="20"/>
        </w:rPr>
        <w:t xml:space="preserve">10%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the total number of shares in issue as at the date on which the 2025 Scheme is approved by the shareholders. The award of options or RSUs can be granted under the 2025 Scheme. Upon the effective date of the 2025 Scheme on June 27, 2025, the 2019 Plan will be discontinued so that no further grant will be made under the 2019 Plan. All RSUs granted under the 2019 Plan before the effectiveness of the 2025 Scheme will remain valid and be able to be vested, lapsed and cancelled pursuant to the terms and conditions of the 2019 Plan.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summary of the Group’s RSU activity under the 2025 Scheme for the year ended December 31, 2025 were as follows: </w:t>
      </w:r>
    </w:p>
    <w:p>
      <w:pPr>
        <w:pStyle w:val="TextBody"/>
        <w:bidi w:val="0"/>
        <w:spacing w:before="0" w:after="0"/>
        <w:jc w:val="left"/>
        <w:rPr/>
      </w:pPr>
      <w:r>
        <w:rPr/>
        <w:t> </w:t>
      </w:r>
    </w:p>
    <w:p>
      <w:pPr>
        <w:pStyle w:val="TextBody"/>
        <w:bidi w:val="0"/>
        <w:spacing w:before="0" w:after="0"/>
        <w:jc w:val="left"/>
        <w:rPr>
          <w:sz w:val="24"/>
        </w:rPr>
      </w:pPr>
      <w:r>
        <w:rPr>
          <w:sz w:val="24"/>
        </w:rPr>
      </w:r>
    </w:p>
    <w:tbl>
      <w:tblPr>
        <w:tblW w:w="7895" w:type="dxa"/>
        <w:jc w:val="left"/>
        <w:tblInd w:w="0" w:type="dxa"/>
        <w:tblLayout w:type="fixed"/>
        <w:tblCellMar>
          <w:top w:w="0" w:type="dxa"/>
          <w:left w:w="0" w:type="dxa"/>
          <w:bottom w:w="0" w:type="dxa"/>
          <w:right w:w="0" w:type="dxa"/>
        </w:tblCellMar>
      </w:tblPr>
      <w:tblGrid>
        <w:gridCol w:w="3425"/>
        <w:gridCol w:w="120"/>
        <w:gridCol w:w="111"/>
        <w:gridCol w:w="2039"/>
        <w:gridCol w:w="155"/>
        <w:gridCol w:w="120"/>
        <w:gridCol w:w="179"/>
        <w:gridCol w:w="1671"/>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50" w:type="dxa"/>
            <w:gridSpan w:val="2"/>
            <w:tcBorders/>
            <w:vAlign w:val="center"/>
          </w:tcPr>
          <w:p>
            <w:pPr>
              <w:pStyle w:val="TableContents"/>
              <w:bidi w:val="0"/>
              <w:spacing w:before="0" w:after="0"/>
              <w:jc w:val="center"/>
              <w:rPr>
                <w:b/>
                <w:spacing w:val="0"/>
              </w:rPr>
            </w:pPr>
            <w:r>
              <w:rPr>
                <w:b/>
                <w:spacing w:val="0"/>
              </w:rPr>
              <w:t>Number of restricted</w:t>
              <w:br/>
              <w:t>share units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50" w:type="dxa"/>
            <w:gridSpan w:val="2"/>
            <w:tcBorders/>
            <w:vAlign w:val="center"/>
          </w:tcPr>
          <w:p>
            <w:pPr>
              <w:pStyle w:val="TableContents"/>
              <w:bidi w:val="0"/>
              <w:spacing w:before="0" w:after="0"/>
              <w:jc w:val="center"/>
              <w:rPr>
                <w:b/>
                <w:spacing w:val="0"/>
              </w:rPr>
            </w:pPr>
            <w:r>
              <w:rPr>
                <w:b/>
                <w:spacing w:val="0"/>
              </w:rPr>
              <w:t>Weighted average</w:t>
              <w:br/>
              <w:t>grant date fair</w:t>
              <w:br/>
              <w:t>value</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5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5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34,496,154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43.26</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(2,066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62.18</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(280,232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72.22</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bdr w:val="single" w:sz="2" w:space="1" w:color="000000"/>
              </w:rPr>
            </w:pPr>
            <w:r>
              <w:rPr>
                <w:bdr w:val="single" w:sz="2" w:space="1" w:color="000000"/>
              </w:rPr>
              <w:t> </w:t>
            </w:r>
          </w:p>
        </w:tc>
        <w:tc>
          <w:tcPr>
            <w:tcW w:w="203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2025</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34,213,856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43.02</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bdr w:val="single" w:sz="2" w:space="1" w:color="000000"/>
              </w:rPr>
            </w:pPr>
            <w:r>
              <w:rPr>
                <w:bdr w:val="single" w:sz="2" w:space="1" w:color="000000"/>
              </w:rPr>
              <w:t> </w:t>
            </w:r>
          </w:p>
        </w:tc>
        <w:tc>
          <w:tcPr>
            <w:tcW w:w="203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2025</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32,993,621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For the year ended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s</w:t>
      </w:r>
    </w:p>
    <w:p>
      <w:pPr>
        <w:pStyle w:val="TextBody"/>
        <w:bidi w:val="0"/>
        <w:spacing w:before="240" w:after="0"/>
        <w:jc w:val="left"/>
        <w:rPr>
          <w:rFonts w:ascii="Times New Roman" w:hAnsi="Times New Roman"/>
          <w:spacing w:val="0"/>
          <w:sz w:val="20"/>
        </w:rPr>
      </w:pPr>
      <w:r>
        <w:rPr>
          <w:rFonts w:ascii="Times New Roman" w:hAnsi="Times New Roman"/>
          <w:spacing w:val="0"/>
          <w:sz w:val="20"/>
        </w:rPr>
        <w:t>hare-based compensation expense of RMB</w:t>
      </w:r>
    </w:p>
    <w:p>
      <w:pPr>
        <w:pStyle w:val="TextBody"/>
        <w:bidi w:val="0"/>
        <w:spacing w:before="240" w:after="0"/>
        <w:jc w:val="left"/>
        <w:rPr>
          <w:rFonts w:ascii="Times New Roman" w:hAnsi="Times New Roman"/>
          <w:sz w:val="20"/>
        </w:rPr>
      </w:pPr>
      <w:r>
        <w:rPr>
          <w:rFonts w:ascii="Times New Roman" w:hAnsi="Times New Roman"/>
          <w:sz w:val="20"/>
        </w:rPr>
        <w:t xml:space="preserve">148,089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was recognized for the RSUs granted under the 2025 Scheme.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As of December 31, 2025, total unrecognized compensation expense related to the 2025 Scheme amounted to RMB</w:t>
      </w:r>
    </w:p>
    <w:p>
      <w:pPr>
        <w:pStyle w:val="TextBody"/>
        <w:bidi w:val="0"/>
        <w:spacing w:before="120" w:after="0"/>
        <w:jc w:val="left"/>
        <w:rPr>
          <w:rFonts w:ascii="Times New Roman" w:hAnsi="Times New Roman"/>
          <w:sz w:val="20"/>
        </w:rPr>
      </w:pPr>
      <w:r>
        <w:rPr>
          <w:rFonts w:ascii="Times New Roman" w:hAnsi="Times New Roman"/>
          <w:sz w:val="20"/>
        </w:rPr>
        <w:t>1,228,452</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 Except for the 2025 CEO Performance Award mentioned below, the expense is expected to be recognized over a weighted average period of </w:t>
      </w:r>
    </w:p>
    <w:p>
      <w:pPr>
        <w:pStyle w:val="TextBody"/>
        <w:bidi w:val="0"/>
        <w:spacing w:before="120" w:after="0"/>
        <w:jc w:val="left"/>
        <w:rPr>
          <w:rFonts w:ascii="Times New Roman" w:hAnsi="Times New Roman"/>
          <w:sz w:val="20"/>
        </w:rPr>
      </w:pPr>
      <w:r>
        <w:rPr>
          <w:rFonts w:ascii="Times New Roman" w:hAnsi="Times New Roman"/>
          <w:sz w:val="20"/>
        </w:rPr>
        <w:t xml:space="preserve">3.72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years and may be adjusted for future changes in forfeitures.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120" w:after="0"/>
        <w:jc w:val="left"/>
        <w:rPr>
          <w:rFonts w:ascii="Times New Roman" w:hAnsi="Times New Roman"/>
          <w:b/>
          <w:sz w:val="20"/>
        </w:rPr>
      </w:pPr>
      <w:r>
        <w:rPr>
          <w:rFonts w:ascii="Times New Roman" w:hAnsi="Times New Roman"/>
          <w:b/>
          <w:sz w:val="20"/>
        </w:rPr>
        <w:t xml:space="preserve">23. Share-based Compensation (continued)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b/>
                <w:spacing w:val="0"/>
              </w:rPr>
            </w:pPr>
            <w:r>
              <w:rPr>
                <w:b/>
                <w:spacing w:val="0"/>
              </w:rPr>
              <w:t>(i)</w:t>
            </w:r>
          </w:p>
        </w:tc>
        <w:tc>
          <w:tcPr>
            <w:tcW w:w="2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2022 Performance Based Award </w:t>
            </w:r>
          </w:p>
        </w:tc>
      </w:tr>
    </w:tbl>
    <w:p>
      <w:pPr>
        <w:pStyle w:val="TextBody"/>
        <w:bidi w:val="0"/>
        <w:spacing w:before="120" w:after="0"/>
        <w:jc w:val="left"/>
        <w:rPr>
          <w:rFonts w:ascii="Times New Roman" w:hAnsi="Times New Roman"/>
          <w:sz w:val="20"/>
        </w:rPr>
      </w:pPr>
      <w:r>
        <w:rPr>
          <w:rFonts w:ascii="Times New Roman" w:hAnsi="Times New Roman"/>
          <w:sz w:val="20"/>
        </w:rPr>
        <w:t>In November 2022, the board of directors of the Company granted 8.02 </w:t>
      </w:r>
    </w:p>
    <w:p>
      <w:pPr>
        <w:pStyle w:val="TextBody"/>
        <w:bidi w:val="0"/>
        <w:spacing w:before="120" w:after="0"/>
        <w:jc w:val="left"/>
        <w:rPr>
          <w:rFonts w:ascii="Times New Roman" w:hAnsi="Times New Roman"/>
          <w:sz w:val="20"/>
        </w:rPr>
      </w:pPr>
      <w:r>
        <w:rPr>
          <w:rFonts w:ascii="Times New Roman" w:hAnsi="Times New Roman"/>
          <w:sz w:val="20"/>
        </w:rPr>
        <w:t>million RSUs to certain employees (the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2022 Award</w:t>
      </w:r>
    </w:p>
    <w:p>
      <w:pPr>
        <w:pStyle w:val="TextBody"/>
        <w:bidi w:val="0"/>
        <w:spacing w:before="120" w:after="0"/>
        <w:jc w:val="left"/>
        <w:rPr/>
      </w:pPr>
      <w:r>
        <w:rPr/>
        <w:t>”</w:t>
      </w:r>
      <w:r>
        <w:rPr>
          <w:rFonts w:ascii="Times New Roman" w:hAnsi="Times New Roman"/>
          <w:sz w:val="20"/>
        </w:rPr>
        <w:t>) under 2019 Plan. The 2022 Award consists of five vesting tranches with both service and performance conditions. Such employees are required to provide continued services through the achievement of the performance conditions which were different for each vesting tranche. The Group will recognize the compensation cost when the performance conditions become probable of achievement. Three of the five tranches of the 2022 Award had achieved the necessary performance condition as of December 31, 2025 and had been vested. As of December 31, 2025, amounting to RMB25,132 of unrecognized compensation expenses relating to the 2022 Award as the remaining performance conditions were still not considered probable of achievement.</w:t>
      </w:r>
    </w:p>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305"/>
        <w:gridCol w:w="4430"/>
      </w:tblGrid>
      <w:tr>
        <w:trPr/>
        <w:tc>
          <w:tcPr>
            <w:tcW w:w="305" w:type="dxa"/>
            <w:tcBorders/>
            <w:vAlign w:val="center"/>
          </w:tcPr>
          <w:p>
            <w:pPr>
              <w:pStyle w:val="TableContents"/>
              <w:bidi w:val="0"/>
              <w:spacing w:before="0" w:after="0"/>
              <w:jc w:val="left"/>
              <w:rPr>
                <w:b/>
                <w:spacing w:val="0"/>
              </w:rPr>
            </w:pPr>
            <w:r>
              <w:rPr>
                <w:b/>
                <w:spacing w:val="0"/>
              </w:rPr>
              <w:t>(ii)</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2025 CEO Performance Award under 2025 Scheme </w:t>
            </w:r>
          </w:p>
        </w:tc>
      </w:tr>
    </w:tbl>
    <w:p>
      <w:pPr>
        <w:pStyle w:val="TextBody"/>
        <w:bidi w:val="0"/>
        <w:spacing w:before="120" w:after="0"/>
        <w:jc w:val="left"/>
        <w:rPr>
          <w:rFonts w:ascii="Times New Roman" w:hAnsi="Times New Roman"/>
          <w:sz w:val="20"/>
        </w:rPr>
      </w:pPr>
      <w:r>
        <w:rPr>
          <w:rFonts w:ascii="Times New Roman" w:hAnsi="Times New Roman"/>
          <w:sz w:val="20"/>
        </w:rPr>
        <w:t>In June 2025, the Annual General Meeting approved the Board of Directors’ grant of 28,506,786 RSUs to the Group’s CEO (the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2025 CEO Award</w:t>
      </w:r>
    </w:p>
    <w:p>
      <w:pPr>
        <w:pStyle w:val="TextBody"/>
        <w:bidi w:val="0"/>
        <w:spacing w:before="120" w:after="0"/>
        <w:jc w:val="left"/>
        <w:rPr/>
      </w:pPr>
      <w:r>
        <w:rPr/>
        <w:t>”</w:t>
      </w:r>
      <w:r>
        <w:rPr>
          <w:rFonts w:ascii="Times New Roman" w:hAnsi="Times New Roman"/>
          <w:sz w:val="20"/>
        </w:rPr>
        <w:t xml:space="preserve">) under 2025 Scheme. The 2025 CEO Award consists of 3 vesting tranches, 9,502,262 RSUs per tranche, with a vesting schedule based entirely on the attainment of market conditions, assuming continued employment through each vesting date. Each of the 3 vesting tranches of the 2025 CEO Award will vest upon the arithmetic average closing price of the shares as stated in the Hong Kong Stock Exchange’s daily quotations sheet for any 30 consecutive Business Days first reaches or exceeds HK$250, HK$500 and HK$750. </w:t>
      </w:r>
    </w:p>
    <w:p>
      <w:pPr>
        <w:pStyle w:val="TextBody"/>
        <w:bidi w:val="0"/>
        <w:spacing w:before="120" w:after="0"/>
        <w:jc w:val="left"/>
        <w:rPr>
          <w:rFonts w:ascii="Times New Roman" w:hAnsi="Times New Roman"/>
          <w:sz w:val="20"/>
        </w:rPr>
      </w:pPr>
      <w:r>
        <w:rPr>
          <w:rFonts w:ascii="Times New Roman" w:hAnsi="Times New Roman"/>
          <w:sz w:val="20"/>
        </w:rPr>
        <w:t xml:space="preserve">Share-based compensation expense associated with the 2025 CEO Award is recognized over the expected achievement period for each market capitalization milestone. The market capitalization milestone period and the valuation of each tranche are determined using a Monte Carlo simulation and is used as the basis for determining the expected achievement period, share-based compensation represents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expense and is recorded as a selling, general, and administrative operating expense in our consolidated statement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there was RMB942,752 of total unrecognized share-based compensation expense, which will be recognized over a weighted-average period of 4.48 years. From June 27, 2025, when the grant was approved by the Annual General Meeting, through December 31, 2025, the Group recorded share-based compensation expense of RMB113,708 related to the 2025 CEO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120" w:after="0"/>
        <w:jc w:val="left"/>
        <w:rPr>
          <w:rFonts w:ascii="Times New Roman" w:hAnsi="Times New Roman"/>
          <w:b/>
          <w:sz w:val="20"/>
        </w:rPr>
      </w:pPr>
      <w:r>
        <w:rPr>
          <w:rFonts w:ascii="Times New Roman" w:hAnsi="Times New Roman"/>
          <w:b/>
          <w:sz w:val="20"/>
        </w:rPr>
        <w:t xml:space="preserve">24. Taxation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Income taxes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Under the current laws of the Cayman Islands, the Company is not subject to tax on either income or capital gain. Additionally, upon payments of dividends to the shareholders, no Cayman Islands withholding tax will be imposed.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BVI </w:t>
      </w:r>
    </w:p>
    <w:p>
      <w:pPr>
        <w:pStyle w:val="TextBody"/>
        <w:bidi w:val="0"/>
        <w:spacing w:before="120" w:after="0"/>
        <w:jc w:val="left"/>
        <w:rPr>
          <w:rFonts w:ascii="Times New Roman" w:hAnsi="Times New Roman"/>
          <w:sz w:val="20"/>
        </w:rPr>
      </w:pPr>
      <w:r>
        <w:rPr>
          <w:rFonts w:ascii="Times New Roman" w:hAnsi="Times New Roman"/>
          <w:sz w:val="20"/>
        </w:rPr>
        <w:t xml:space="preserve">XPeng Limited is exempted from income tax on its foreign-derived income in the BVI. There are no withholding taxes in the BVI.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Under the current Hong Kong Inland Revenue Ordinance, the subsidiaries of the Group incorporated in Hong Kong are subject to 16.5</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Hong Kong profit tax on their taxable income generated from operations in Hong Kong. Additionally, payments of dividends by the subsidiaries incorporated in Hong Kong to the Company are not subject to any Hong Kong withholding tax.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income tax rate of United States where the Company’s subsidiaries having significant operations for the years ended December 31, 2023, 2024 and 2025 is 27.98%, which is a blended state and federal rate.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PRC </w:t>
      </w:r>
    </w:p>
    <w:p>
      <w:pPr>
        <w:pStyle w:val="TextBody"/>
        <w:bidi w:val="0"/>
        <w:spacing w:before="120" w:after="0"/>
        <w:jc w:val="left"/>
        <w:rPr>
          <w:rFonts w:ascii="Times New Roman" w:hAnsi="Times New Roman"/>
          <w:sz w:val="20"/>
        </w:rPr>
      </w:pPr>
      <w:r>
        <w:rPr>
          <w:rFonts w:ascii="Times New Roman" w:hAnsi="Times New Roman"/>
          <w:sz w:val="20"/>
        </w:rPr>
        <w:t xml:space="preserve">The PRC Enterprise Income Tax Law (“EIT Law”), which became effective on January 1, 2008, applies a uniform enterprise income tax (“EIT”) rate of 25% to both foreign-invested enterprises (“FIEs”) and domestic enterprises. Certified High and New Technology Enterprises (“HNTE”) are entitled to a favorable statutory tax rate of 15%, but need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re-apply</w:t>
      </w:r>
    </w:p>
    <w:p>
      <w:pPr>
        <w:pStyle w:val="TextBody"/>
        <w:bidi w:val="0"/>
        <w:spacing w:before="120" w:after="0"/>
        <w:jc w:val="left"/>
        <w:rPr>
          <w:rFonts w:ascii="Times New Roman" w:hAnsi="Times New Roman"/>
          <w:sz w:val="20"/>
        </w:rPr>
      </w:pPr>
      <w:r>
        <w:rPr>
          <w:rFonts w:ascii="Times New Roman" w:hAnsi="Times New Roman"/>
          <w:sz w:val="20"/>
        </w:rPr>
        <w:t xml:space="preserve">every three years. During this three-year period, an HNTE must conduct a qualification self-review each year to ensure it meets the HNTE criteria and is eligible for the 15% preferential tax rate for that year. If an HNTE fails to meet the criteria for qualification as an HNTE in any year, the enterprise cannot enjoy the 15% preferential tax rate in that year, and must instead use the regular 25% EIT rate.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Xiaopeng Technology applied for the HNTE qualification and received approval in December 2022 and renewed in December 2025. Xiaopeng Technology is entitled to continue to enjoy the beneficial tax rate of</w:t>
      </w:r>
    </w:p>
    <w:p>
      <w:pPr>
        <w:pStyle w:val="TextBody"/>
        <w:bidi w:val="0"/>
        <w:spacing w:before="120" w:after="0"/>
        <w:ind w:left="0" w:right="0" w:hanging="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15%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an HNTE for the years 2025 through 2027.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Zhaoqing Xiaopeng applied for the HNTE qualification and received approval in December 2020 and renewed in December 2023. Zhaoqing Xiaopeng is entitled to continue to enjoy the beneficial tax rate of </w:t>
      </w:r>
    </w:p>
    <w:p>
      <w:pPr>
        <w:pStyle w:val="TextBody"/>
        <w:bidi w:val="0"/>
        <w:spacing w:before="120" w:after="0"/>
        <w:jc w:val="left"/>
        <w:rPr>
          <w:rFonts w:ascii="Times New Roman" w:hAnsi="Times New Roman"/>
          <w:sz w:val="20"/>
        </w:rPr>
      </w:pPr>
      <w:r>
        <w:rPr>
          <w:rFonts w:ascii="Times New Roman" w:hAnsi="Times New Roman"/>
          <w:sz w:val="20"/>
        </w:rPr>
        <w:t xml:space="preserve">15%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an HNTE for the years 2023 through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NOTES TO CONSOLIDATED FINANCIAL STATEMENTS (CONTINUED)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(All amounts in thousands, except for share and per share data, unless otherwise stated)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24. Taxation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 Income taxes</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(continued)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PRC (continued) </w:t>
      </w:r>
    </w:p>
    <w:p>
      <w:pPr>
        <w:pStyle w:val="TextBody"/>
        <w:bidi w:val="0"/>
        <w:spacing w:before="120" w:after="0"/>
        <w:jc w:val="left"/>
        <w:rPr>
          <w:rFonts w:ascii="Times New Roman" w:hAnsi="Times New Roman"/>
          <w:sz w:val="20"/>
        </w:rPr>
      </w:pPr>
      <w:r>
        <w:rPr>
          <w:rFonts w:ascii="Times New Roman" w:hAnsi="Times New Roman"/>
          <w:sz w:val="20"/>
        </w:rPr>
        <w:t xml:space="preserve">Beijing Xiaopeng applied for the HNTE qualification and received approval in December 2020. This enterprise is entitled to continue to enjoy the beneficial tax rate of 15% as an HNTE for the years 2020 through 2022. Since the qualification was expired in 2023, this enterprise applies tax rate of 25% for the year 2023. This enterprise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re-applied</w:t>
      </w:r>
    </w:p>
    <w:p>
      <w:pPr>
        <w:pStyle w:val="TextBody"/>
        <w:bidi w:val="0"/>
        <w:spacing w:before="120" w:after="0"/>
        <w:jc w:val="left"/>
        <w:rPr>
          <w:rFonts w:ascii="Times New Roman" w:hAnsi="Times New Roman"/>
          <w:sz w:val="20"/>
        </w:rPr>
      </w:pPr>
      <w:r>
        <w:rPr>
          <w:rFonts w:ascii="Times New Roman" w:hAnsi="Times New Roman"/>
          <w:sz w:val="20"/>
        </w:rPr>
        <w:t xml:space="preserve">for the HNTE qualification and received approval in December 2024, then entitled to enjoy the beneficial tax rate of 15% as an HNTE for the years 2024 through 2026. </w:t>
      </w:r>
    </w:p>
    <w:p>
      <w:pPr>
        <w:pStyle w:val="TextBody"/>
        <w:bidi w:val="0"/>
        <w:spacing w:before="120" w:after="0"/>
        <w:jc w:val="left"/>
        <w:rPr>
          <w:rFonts w:ascii="Times New Roman" w:hAnsi="Times New Roman"/>
          <w:sz w:val="20"/>
        </w:rPr>
      </w:pPr>
      <w:r>
        <w:rPr>
          <w:rFonts w:ascii="Times New Roman" w:hAnsi="Times New Roman"/>
          <w:sz w:val="20"/>
        </w:rPr>
        <w:t xml:space="preserve">Shanghai Xiaopeng applied for the HNTE qualification and received approval in December 2022. Shanghai Xiaopeng is entitled to continue to enjoy the beneficial tax rate of 15% as an HNTE for the years 2022 through 2024, which was expired in 2025.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Shenzhen </w:t>
      </w:r>
    </w:p>
    <w:p>
      <w:pPr>
        <w:pStyle w:val="TextBody"/>
        <w:bidi w:val="0"/>
        <w:spacing w:before="120" w:after="0"/>
        <w:jc w:val="left"/>
        <w:rPr>
          <w:rFonts w:ascii="Times New Roman" w:hAnsi="Times New Roman"/>
          <w:sz w:val="20"/>
        </w:rPr>
      </w:pPr>
      <w:r>
        <w:rPr>
          <w:rFonts w:ascii="Times New Roman" w:hAnsi="Times New Roman"/>
          <w:sz w:val="20"/>
        </w:rPr>
        <w:t xml:space="preserve">Pengxing Smart Research Co., Ltd. (“Shenzhen Pengxing Research”) applied for the HNTE qualification and received approval in October 2023. Shenzhen Pengxing Research is entitled to continue to enjoy the beneficial tax rate of 15% as an HNTE for the years 2023 through 2025. </w:t>
      </w:r>
    </w:p>
    <w:p>
      <w:pPr>
        <w:pStyle w:val="TextBody"/>
        <w:bidi w:val="0"/>
        <w:spacing w:before="120" w:after="0"/>
        <w:jc w:val="left"/>
        <w:rPr>
          <w:rFonts w:ascii="Times New Roman" w:hAnsi="Times New Roman"/>
          <w:sz w:val="20"/>
        </w:rPr>
      </w:pPr>
      <w:r>
        <w:rPr>
          <w:rFonts w:ascii="Times New Roman" w:hAnsi="Times New Roman"/>
          <w:sz w:val="20"/>
        </w:rPr>
        <w:t xml:space="preserve">Zhaoqing Xiaopeng New Energy applied for the HNTE qualification and received approval in December 2024. Zhaoqing Xiaopeng New Energy is entitled to continue to enjoy the beneficial tax rate of 15% as an HNTE for the years 2024 through 2026. </w:t>
      </w:r>
    </w:p>
    <w:p>
      <w:pPr>
        <w:pStyle w:val="TextBody"/>
        <w:bidi w:val="0"/>
        <w:spacing w:before="120" w:after="0"/>
        <w:jc w:val="left"/>
        <w:rPr>
          <w:rFonts w:ascii="Times New Roman" w:hAnsi="Times New Roman"/>
          <w:sz w:val="20"/>
        </w:rPr>
      </w:pPr>
      <w:r>
        <w:rPr>
          <w:rFonts w:ascii="Times New Roman" w:hAnsi="Times New Roman"/>
          <w:sz w:val="20"/>
        </w:rPr>
        <w:t xml:space="preserve">Guangzhou Zhipeng Manufacturing Co., Ltd. applied for the HNTE qualification and received approval in December 2024. Guangzhou Zhipeng Manufacturing Co., Ltd. is entitled to continue to enjoy the beneficial tax rate of 15% as an HNTE for the years 2024 through 2026. </w:t>
      </w:r>
    </w:p>
    <w:p>
      <w:pPr>
        <w:pStyle w:val="TextBody"/>
        <w:bidi w:val="0"/>
        <w:spacing w:before="120" w:after="0"/>
        <w:jc w:val="left"/>
        <w:rPr>
          <w:rFonts w:ascii="Times New Roman" w:hAnsi="Times New Roman"/>
          <w:sz w:val="20"/>
        </w:rPr>
      </w:pPr>
      <w:r>
        <w:rPr>
          <w:rFonts w:ascii="Times New Roman" w:hAnsi="Times New Roman"/>
          <w:sz w:val="20"/>
        </w:rPr>
        <w:t xml:space="preserve">Under the EIT Law enacted by the National People’s Congress of the PRC, dividends generated after January 1, 2008 and payable by a foreign investment enterprise in the PRC to its foreign investors who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120" w:after="0"/>
        <w:jc w:val="left"/>
        <w:rPr>
          <w:rFonts w:ascii="Times New Roman" w:hAnsi="Times New Roman"/>
          <w:sz w:val="20"/>
        </w:rPr>
      </w:pPr>
      <w:r>
        <w:rPr>
          <w:rFonts w:ascii="Times New Roman" w:hAnsi="Times New Roman"/>
          <w:sz w:val="20"/>
        </w:rPr>
        <w:t xml:space="preserve">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the PRC.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guidance, all undistributed earnings are presumed to be transferred to the parent company and are subject to the withholding taxes. All FIEs are subject to the withholding tax from January 1, 2008. The presumption may be overcome if the Group has sufficient evidence to demonstrate that the undistributed earnings will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re-invested</w:t>
      </w:r>
    </w:p>
    <w:p>
      <w:pPr>
        <w:pStyle w:val="TextBody"/>
        <w:bidi w:val="0"/>
        <w:spacing w:before="120" w:after="0"/>
        <w:jc w:val="left"/>
        <w:rPr>
          <w:rFonts w:ascii="Times New Roman" w:hAnsi="Times New Roman"/>
          <w:sz w:val="20"/>
        </w:rPr>
      </w:pPr>
      <w:r>
        <w:rPr>
          <w:rFonts w:ascii="Times New Roman" w:hAnsi="Times New Roman"/>
          <w:sz w:val="20"/>
        </w:rPr>
        <w:t xml:space="preserve">and the remittance of the dividends will be postponed indefinitely. The Group did not record any dividend withholding tax, as it has no retained earnings for any of the years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non-PRC</w:t>
      </w:r>
    </w:p>
    <w:p>
      <w:pPr>
        <w:pStyle w:val="TextBody"/>
        <w:bidi w:val="0"/>
        <w:spacing w:before="120" w:after="0"/>
        <w:jc w:val="left"/>
        <w:rPr>
          <w:rFonts w:ascii="Times New Roman" w:hAnsi="Times New Roman"/>
          <w:sz w:val="20"/>
        </w:rPr>
      </w:pPr>
      <w:r>
        <w:rPr>
          <w:rFonts w:ascii="Times New Roman" w:hAnsi="Times New Roman"/>
          <w:sz w:val="20"/>
        </w:rPr>
        <w:t xml:space="preserve">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NOTES TO CONSOLIDATED FINANCIAL STATEMENTS (CONTINUED)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(All amounts in thousands, except for share and per share data, unless otherwise stated)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24. Taxation (continued)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Income taxes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(continued)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PRC (continued)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According to relevant policies promulgated by the State Tax Bureau of the PRC and effective from 2008 onwards, enterprises engaged in R&amp;D activities are entitled to claim an additional tax deduction amounting to 75% or 100% of qualified R&amp;D expenses incurred in determining its tax assessable profits for that year. (“Super Deduction”). The additional deduction of 100% or 75% of qualified R&amp;D expenses can only be claimed directly in the annual EIT filling and subject to the approval from the relevant tax authorities.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Loss before income tax expenses (benefits) for the years ended December 31, 2023, 2024 and 2025 was as follows: </w:t>
      </w:r>
    </w:p>
    <w:p>
      <w:pPr>
        <w:pStyle w:val="TextBody"/>
        <w:bidi w:val="0"/>
        <w:spacing w:before="0" w:after="0"/>
        <w:jc w:val="left"/>
        <w:rPr/>
      </w:pPr>
      <w:r>
        <w:rPr/>
        <w:t> </w:t>
      </w:r>
    </w:p>
    <w:tbl>
      <w:tblPr>
        <w:tblW w:w="7805" w:type="dxa"/>
        <w:jc w:val="left"/>
        <w:tblInd w:w="0" w:type="dxa"/>
        <w:tblLayout w:type="fixed"/>
        <w:tblCellMar>
          <w:top w:w="0" w:type="dxa"/>
          <w:left w:w="0" w:type="dxa"/>
          <w:bottom w:w="0" w:type="dxa"/>
          <w:right w:w="0" w:type="dxa"/>
        </w:tblCellMar>
      </w:tblPr>
      <w:tblGrid>
        <w:gridCol w:w="3500"/>
        <w:gridCol w:w="120"/>
        <w:gridCol w:w="60"/>
        <w:gridCol w:w="1175"/>
        <w:gridCol w:w="155"/>
        <w:gridCol w:w="120"/>
        <w:gridCol w:w="60"/>
        <w:gridCol w:w="1055"/>
        <w:gridCol w:w="155"/>
        <w:gridCol w:w="120"/>
        <w:gridCol w:w="60"/>
        <w:gridCol w:w="1055"/>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(11,024,653</w:t>
            </w:r>
          </w:p>
        </w:tc>
        <w:tc>
          <w:tcPr>
            <w:tcW w:w="15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(6,038,105</w:t>
            </w:r>
          </w:p>
        </w:tc>
        <w:tc>
          <w:tcPr>
            <w:tcW w:w="15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(1,499,539</w:t>
            </w:r>
          </w:p>
        </w:tc>
        <w:tc>
          <w:tcPr>
            <w:tcW w:w="170" w:type="dxa"/>
            <w:tcBorders/>
            <w:shd w:fill="CCEEFF" w:val="clear"/>
            <w:vAlign w:val="center"/>
          </w:tcPr>
          <w:p>
            <w:pPr>
              <w:pStyle w:val="TableContents"/>
              <w:bidi w:val="0"/>
              <w:spacing w:before="0" w:after="283"/>
              <w:jc w:val="left"/>
              <w:rPr/>
            </w:pPr>
            <w:r>
              <w:rPr/>
              <w:t>)</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jurisdictions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630,948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207,130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342,736</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expenses (benefits)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(10,393,705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(5,830,975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(1,156,803</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Composition of income tax expenses (benefit) for the years presented are as follows: </w:t>
      </w:r>
    </w:p>
    <w:p>
      <w:pPr>
        <w:pStyle w:val="TextBody"/>
        <w:bidi w:val="0"/>
        <w:spacing w:before="0" w:after="0"/>
        <w:jc w:val="left"/>
        <w:rPr/>
      </w:pPr>
      <w:r>
        <w:rPr/>
        <w:t> </w:t>
      </w:r>
    </w:p>
    <w:tbl>
      <w:tblPr>
        <w:tblW w:w="6997" w:type="dxa"/>
        <w:jc w:val="left"/>
        <w:tblInd w:w="0" w:type="dxa"/>
        <w:tblLayout w:type="fixed"/>
        <w:tblCellMar>
          <w:top w:w="0" w:type="dxa"/>
          <w:left w:w="0" w:type="dxa"/>
          <w:bottom w:w="0" w:type="dxa"/>
          <w:right w:w="0" w:type="dxa"/>
        </w:tblCellMar>
      </w:tblPr>
      <w:tblGrid>
        <w:gridCol w:w="3185"/>
        <w:gridCol w:w="120"/>
        <w:gridCol w:w="74"/>
        <w:gridCol w:w="849"/>
        <w:gridCol w:w="74"/>
        <w:gridCol w:w="149"/>
        <w:gridCol w:w="74"/>
        <w:gridCol w:w="943"/>
        <w:gridCol w:w="193"/>
        <w:gridCol w:w="149"/>
        <w:gridCol w:w="74"/>
        <w:gridCol w:w="943"/>
        <w:gridCol w:w="17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2"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income tax expenses</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84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43" w:type="dxa"/>
            <w:tcBorders/>
            <w:shd w:fill="CCEEFF" w:val="cle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4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4,044</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456</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13,372</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jurisdictions</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13,970</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21,841</w:t>
            </w:r>
          </w:p>
        </w:tc>
        <w:tc>
          <w:tcPr>
            <w:tcW w:w="19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19,996</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849"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18,014</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22,297</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33,368</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849"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expenses (benefit)</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84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43" w:type="dxa"/>
            <w:tcBorders/>
            <w:shd w:fill="CCEEFF" w:val="cle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4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18,151</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(91,432</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(19,783</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jurisdictions</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645</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(645</w:t>
            </w:r>
          </w:p>
        </w:tc>
        <w:tc>
          <w:tcPr>
            <w:tcW w:w="19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849"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18,796</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(92,077</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(19,783</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849" w:type="dxa"/>
            <w:tcBorders/>
            <w:vAlign w:val="center"/>
          </w:tcPr>
          <w:p>
            <w:pPr>
              <w:pStyle w:val="TableContents"/>
              <w:bidi w:val="0"/>
              <w:spacing w:before="0" w:after="0"/>
              <w:jc w:val="left"/>
              <w:rPr>
                <w:bdr w:val="single" w:sz="2" w:space="1" w:color="000000"/>
              </w:rPr>
            </w:pPr>
            <w:r>
              <w:rPr>
                <w:bdr w:val="single" w:sz="2"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36,810</w:t>
            </w:r>
          </w:p>
        </w:tc>
        <w:tc>
          <w:tcPr>
            <w:tcW w:w="7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(69,780</w:t>
            </w:r>
          </w:p>
        </w:tc>
        <w:tc>
          <w:tcPr>
            <w:tcW w:w="19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13,585</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849" w:type="dxa"/>
            <w:tcBorders/>
            <w:vAlign w:val="center"/>
          </w:tcPr>
          <w:p>
            <w:pPr>
              <w:pStyle w:val="TableContents"/>
              <w:bidi w:val="0"/>
              <w:spacing w:before="0" w:after="0"/>
              <w:jc w:val="left"/>
              <w:rPr>
                <w:bdr w:val="double" w:sz="6" w:space="1" w:color="000000"/>
              </w:rPr>
            </w:pPr>
            <w:r>
              <w:rPr>
                <w:bdr w:val="double" w:sz="6" w:space="1" w:color="000000"/>
              </w:rPr>
              <w:t> </w:t>
            </w:r>
          </w:p>
        </w:tc>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3" w:type="dxa"/>
            <w:tcBorders/>
            <w:vAlign w:val="center"/>
          </w:tcPr>
          <w:p>
            <w:pPr>
              <w:pStyle w:val="TableContents"/>
              <w:bidi w:val="0"/>
              <w:spacing w:before="0" w:after="0"/>
              <w:jc w:val="left"/>
              <w:rPr>
                <w:bdr w:val="double" w:sz="6" w:space="1" w:color="000000"/>
              </w:rPr>
            </w:pPr>
            <w:r>
              <w:rPr>
                <w:bdr w:val="double" w:sz="6" w:space="1" w:color="000000"/>
              </w:rPr>
              <w:t> </w:t>
            </w:r>
          </w:p>
        </w:tc>
        <w:tc>
          <w:tcPr>
            <w:tcW w:w="19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NOTES TO CONSOLIDATED FINANCIAL STATEMENTS (CONTINUED)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(All amounts in thousands, except for share and per share data, unless otherwise stated)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24. Taxation (continued)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Income taxes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(continued)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Upon adoption of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Improvements to Income Tax Disclosures, as described in Note 2(z), Summary of Significant Accounting Policies, the reconciliation of taxes at the statutory rate to our income taxes for the year ended December 31, 2025 was as follows: </w:t>
      </w:r>
    </w:p>
    <w:p>
      <w:pPr>
        <w:pStyle w:val="TextBody"/>
        <w:bidi w:val="0"/>
        <w:spacing w:before="0" w:after="0"/>
        <w:ind w:left="0" w:right="0" w:hanging="0"/>
        <w:jc w:val="left"/>
        <w:rPr>
          <w:spacing w:val="0"/>
        </w:rPr>
      </w:pPr>
      <w:r>
        <w:rPr>
          <w:spacing w:val="0"/>
        </w:rPr>
        <w:t> </w:t>
      </w:r>
    </w:p>
    <w:tbl>
      <w:tblPr>
        <w:tblW w:w="8651" w:type="dxa"/>
        <w:jc w:val="left"/>
        <w:tblInd w:w="0" w:type="dxa"/>
        <w:tblLayout w:type="fixed"/>
        <w:tblCellMar>
          <w:top w:w="0" w:type="dxa"/>
          <w:left w:w="0" w:type="dxa"/>
          <w:bottom w:w="0" w:type="dxa"/>
          <w:right w:w="0" w:type="dxa"/>
        </w:tblCellMar>
      </w:tblPr>
      <w:tblGrid>
        <w:gridCol w:w="6170"/>
        <w:gridCol w:w="120"/>
        <w:gridCol w:w="61"/>
        <w:gridCol w:w="1011"/>
        <w:gridCol w:w="160"/>
        <w:gridCol w:w="123"/>
        <w:gridCol w:w="61"/>
        <w:gridCol w:w="655"/>
        <w:gridCol w:w="290"/>
      </w:tblGrid>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2071" w:type="dxa"/>
            <w:gridSpan w:val="6"/>
            <w:vMerge w:val="restart"/>
            <w:tcBorders/>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90" w:type="dxa"/>
            <w:vMerge w:val="restart"/>
            <w:tcBorders/>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2071" w:type="dxa"/>
            <w:gridSpan w:val="6"/>
            <w:vMerge w:val="continue"/>
            <w:tcBorders/>
            <w:vAlign w:val="center"/>
          </w:tcPr>
          <w:p>
            <w:pPr>
              <w:pStyle w:val="Normal"/>
              <w:bidi w:val="0"/>
              <w:jc w:val="left"/>
              <w:rPr/>
            </w:pPr>
            <w:r>
              <w:rPr/>
            </w:r>
          </w:p>
        </w:tc>
        <w:tc>
          <w:tcPr>
            <w:tcW w:w="290" w:type="dxa"/>
            <w:vMerge w:val="continue"/>
            <w:tcBorders/>
            <w:vAlign w:val="center"/>
          </w:tcPr>
          <w:p>
            <w:pPr>
              <w:pStyle w:val="Normal"/>
              <w:bidi w:val="0"/>
              <w:jc w:val="left"/>
              <w:rPr/>
            </w:pPr>
            <w:r>
              <w:rPr/>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tax credit computed at the PRC statutory income tax rate of 25%</w:t>
            </w:r>
          </w:p>
          <w:p>
            <w:pPr>
              <w:pStyle w:val="TableContents"/>
              <w:bidi w:val="0"/>
              <w:spacing w:before="0" w:after="0"/>
              <w:jc w:val="left"/>
              <w:rPr>
                <w:rFonts w:ascii="Times New Roman" w:hAnsi="Times New Roman"/>
                <w:b/>
                <w:spacing w:val="0"/>
                <w:sz w:val="12"/>
              </w:rPr>
            </w:pPr>
            <w:r>
              <w:rPr>
                <w:rFonts w:ascii="Times New Roman" w:hAnsi="Times New Roman"/>
                <w:b/>
                <w:spacing w:val="0"/>
                <w:sz w:val="12"/>
              </w:rPr>
              <w:t>(i)</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(289,201</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25.0</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jurisdictions taxes effect</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Cayman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Cayman and Chinese Mainland</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(322,695</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27.9</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British Virgin Islands (“BVI”)</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BVI and Chinese Mainland</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(77,859</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6.7</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Hong Kong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Chinese Mainland</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80,115</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-6.9</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Nontaxable or nondeductible items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Unrealized Foreign Exchange Gain or Loss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137,107</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-11.9</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490</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0.0</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valuation allowances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17,921</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-1.5</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Netherlands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1"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valuation allowances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61,360</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-5.3</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(7,268</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0.6</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45,142</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-3.9</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Changes in valuation allowances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1,605,178</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-138.8</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Nontaxable or nondeductible items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90,216</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-7.8</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additional deduction for qualified R&amp;D expenses</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(854,918</w:t>
            </w:r>
          </w:p>
        </w:tc>
        <w:tc>
          <w:tcPr>
            <w:tcW w:w="160" w:type="dxa"/>
            <w:tcBorders/>
            <w:vAlign w:val="center"/>
          </w:tcPr>
          <w:p>
            <w:pPr>
              <w:pStyle w:val="TableContents"/>
              <w:bidi w:val="0"/>
              <w:spacing w:before="0" w:after="0"/>
              <w:jc w:val="left"/>
              <w:rPr>
                <w:spacing w:val="0"/>
              </w:rPr>
            </w:pPr>
            <w:r>
              <w:rPr>
                <w:spacing w:val="0"/>
              </w:rPr>
              <w:t>)</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73.9</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preferential tax rates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(469,989</w:t>
            </w:r>
          </w:p>
        </w:tc>
        <w:tc>
          <w:tcPr>
            <w:tcW w:w="160" w:type="dxa"/>
            <w:tcBorders/>
            <w:shd w:fill="CCEEFF" w:val="clear"/>
            <w:vAlign w:val="center"/>
          </w:tcPr>
          <w:p>
            <w:pPr>
              <w:pStyle w:val="TableContents"/>
              <w:bidi w:val="0"/>
              <w:spacing w:before="0" w:after="0"/>
              <w:jc w:val="left"/>
              <w:rPr>
                <w:spacing w:val="0"/>
              </w:rPr>
            </w:pPr>
            <w:r>
              <w:rPr>
                <w:spacing w:val="0"/>
              </w:rPr>
              <w:t>)</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40.6</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011" w:type="dxa"/>
            <w:tcBorders/>
            <w:vAlign w:val="center"/>
          </w:tcPr>
          <w:p>
            <w:pPr>
              <w:pStyle w:val="TableContents"/>
              <w:bidi w:val="0"/>
              <w:spacing w:before="0" w:after="0"/>
              <w:jc w:val="right"/>
              <w:rPr>
                <w:spacing w:val="0"/>
              </w:rPr>
            </w:pPr>
            <w:r>
              <w:rPr>
                <w:spacing w:val="0"/>
              </w:rPr>
              <w:t>(2,014</w:t>
            </w:r>
          </w:p>
        </w:tc>
        <w:tc>
          <w:tcPr>
            <w:tcW w:w="160" w:type="dxa"/>
            <w:tcBorders/>
            <w:vAlign w:val="center"/>
          </w:tcPr>
          <w:p>
            <w:pPr>
              <w:pStyle w:val="TableContents"/>
              <w:bidi w:val="0"/>
              <w:spacing w:before="0" w:after="0"/>
              <w:jc w:val="left"/>
              <w:rPr>
                <w:spacing w:val="0"/>
              </w:rPr>
            </w:pPr>
            <w:r>
              <w:rPr>
                <w:spacing w:val="0"/>
              </w:rPr>
              <w:t>)</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spacing w:val="0"/>
              </w:rPr>
            </w:pPr>
            <w:r>
              <w:rPr>
                <w:spacing w:val="0"/>
              </w:rPr>
              <w:t xml:space="preserve">0.2 </w:t>
            </w:r>
          </w:p>
        </w:tc>
        <w:tc>
          <w:tcPr>
            <w:tcW w:w="290" w:type="dxa"/>
            <w:tcBorders/>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1" w:type="dxa"/>
            <w:tcBorders/>
            <w:shd w:fill="CCEE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5" w:type="dxa"/>
            <w:tcBorders/>
            <w:shd w:fill="CCEEFF" w:val="clear"/>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011" w:type="dxa"/>
            <w:tcBorders/>
            <w:shd w:fill="CCEEFF" w:val="clear"/>
            <w:vAlign w:val="center"/>
          </w:tcPr>
          <w:p>
            <w:pPr>
              <w:pStyle w:val="TableContents"/>
              <w:bidi w:val="0"/>
              <w:spacing w:before="0" w:after="0"/>
              <w:jc w:val="right"/>
              <w:rPr>
                <w:spacing w:val="0"/>
              </w:rPr>
            </w:pPr>
            <w:r>
              <w:rPr>
                <w:spacing w:val="0"/>
              </w:rPr>
              <w:t>13,585</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123" w:type="dxa"/>
            <w:tcBorders/>
            <w:shd w:fill="CCEEFF" w:val="clear"/>
            <w:vAlign w:val="center"/>
          </w:tcPr>
          <w:p>
            <w:pPr>
              <w:pStyle w:val="TableContents"/>
              <w:bidi w:val="0"/>
              <w:spacing w:before="0" w:after="0"/>
              <w:jc w:val="left"/>
              <w:rPr>
                <w:spacing w:val="0"/>
              </w:rPr>
            </w:pPr>
            <w:r>
              <w:rPr>
                <w:spacing w:val="0"/>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spacing w:val="0"/>
              </w:rPr>
            </w:pPr>
            <w:r>
              <w:rPr>
                <w:spacing w:val="0"/>
              </w:rPr>
              <w:t>-1.2</w:t>
            </w:r>
          </w:p>
        </w:tc>
        <w:tc>
          <w:tcPr>
            <w:tcW w:w="290" w:type="dxa"/>
            <w:tcBorders/>
            <w:shd w:fill="CCEEFF" w:val="clear"/>
            <w:vAlign w:val="center"/>
          </w:tcPr>
          <w:p>
            <w:pPr>
              <w:pStyle w:val="TableContents"/>
              <w:bidi w:val="0"/>
              <w:spacing w:before="0" w:after="0"/>
              <w:jc w:val="left"/>
              <w:rPr>
                <w:spacing w:val="0"/>
              </w:rPr>
            </w:pPr>
            <w:r>
              <w:rPr>
                <w:spacing w:val="0"/>
              </w:rPr>
              <w:t>% </w:t>
            </w:r>
          </w:p>
        </w:tc>
      </w:tr>
      <w:tr>
        <w:trPr/>
        <w:tc>
          <w:tcPr>
            <w:tcW w:w="6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0"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0"/>
              <w:jc w:val="left"/>
              <w:rPr>
                <w:spacing w:val="0"/>
              </w:rPr>
            </w:pPr>
            <w:r>
              <w:rPr>
                <w:spacing w:val="0"/>
              </w:rPr>
              <w:t> </w:t>
            </w:r>
          </w:p>
        </w:tc>
        <w:tc>
          <w:tcPr>
            <w:tcW w:w="230" w:type="dxa"/>
            <w:tcBorders/>
            <w:vAlign w:val="center"/>
          </w:tcPr>
          <w:p>
            <w:pPr>
              <w:pStyle w:val="TableContents"/>
              <w:bidi w:val="0"/>
              <w:spacing w:before="0" w:after="0"/>
              <w:jc w:val="left"/>
              <w:rPr>
                <w:spacing w:val="0"/>
              </w:rPr>
            </w:pPr>
            <w:r>
              <w:rPr>
                <w:spacing w:val="0"/>
              </w:rPr>
              <w:t>(i)</w:t>
            </w:r>
          </w:p>
        </w:tc>
        <w:tc>
          <w:tcPr>
            <w:tcW w:w="9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PRC statutory income tax rate is used because the majority of the Group’s operations are based in the PRC. </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F-8</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24. Taxation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Income taxes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Reconciliations of the income tax expenses computed by applying the PRC statutory income tax rate of 25% to the Group’s income tax expenses of the years ended December 31, 2023 and 2024 in accordance with the guidance prior to the adoption of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presented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6"/>
        <w:gridCol w:w="120"/>
        <w:gridCol w:w="79"/>
        <w:gridCol w:w="1575"/>
        <w:gridCol w:w="206"/>
        <w:gridCol w:w="159"/>
        <w:gridCol w:w="79"/>
        <w:gridCol w:w="1417"/>
        <w:gridCol w:w="174"/>
      </w:tblGrid>
      <w:tr>
        <w:trPr/>
        <w:tc>
          <w:tcPr>
            <w:tcW w:w="63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3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4" w:type="dxa"/>
            <w:tcBorders/>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expenses (benefit) and share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(10,393,705</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(5,830,975</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credit computed at the PRC statutory income tax rate of 25%</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(2,598,426</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(1,457,744</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preferential tax rate</w:t>
            </w:r>
          </w:p>
          <w:p>
            <w:pPr>
              <w:pStyle w:val="TableContents"/>
              <w:bidi w:val="0"/>
              <w:spacing w:before="0" w:after="0"/>
              <w:jc w:val="left"/>
              <w:rPr>
                <w:rFonts w:ascii="Times New Roman" w:hAnsi="Times New Roman"/>
                <w:sz w:val="12"/>
              </w:rPr>
            </w:pPr>
            <w:r>
              <w:rPr>
                <w:rFonts w:ascii="Times New Roman" w:hAnsi="Times New Roman"/>
                <w:sz w:val="12"/>
              </w:rPr>
              <w:t>(ii)</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29,362</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29,108</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Tax-free</w:t>
            </w:r>
          </w:p>
          <w:p>
            <w:pPr>
              <w:pStyle w:val="TableContents"/>
              <w:bidi w:val="0"/>
              <w:spacing w:before="0" w:after="0"/>
              <w:jc w:val="left"/>
              <w:rPr>
                <w:rFonts w:ascii="Times New Roman" w:hAnsi="Times New Roman"/>
                <w:sz w:val="20"/>
              </w:rPr>
            </w:pPr>
            <w:r>
              <w:rPr>
                <w:rFonts w:ascii="Times New Roman" w:hAnsi="Times New Roman"/>
                <w:sz w:val="20"/>
              </w:rPr>
              <w:t>income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(33,657</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(9,110</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change in tax rate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(79,401</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1,054,824</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different tax rate of different jurisdictions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114,036</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(127,510</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additional deduction for qualified R&amp;D expenses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(1,184,717</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(815,144</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(230,127</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512,324</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adjustments</w:t>
            </w:r>
          </w:p>
          <w:p>
            <w:pPr>
              <w:pStyle w:val="TableContents"/>
              <w:bidi w:val="0"/>
              <w:spacing w:before="0" w:after="0"/>
              <w:jc w:val="left"/>
              <w:rPr>
                <w:rFonts w:ascii="Times New Roman" w:hAnsi="Times New Roman"/>
                <w:sz w:val="12"/>
              </w:rPr>
            </w:pPr>
            <w:r>
              <w:rPr>
                <w:rFonts w:ascii="Times New Roman" w:hAnsi="Times New Roman"/>
                <w:sz w:val="12"/>
              </w:rPr>
              <w:t>(iii)</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(494,696</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150,721</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4,514,436</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592,751</w:t>
            </w:r>
          </w:p>
        </w:tc>
        <w:tc>
          <w:tcPr>
            <w:tcW w:w="174" w:type="dxa"/>
            <w:tcBorders/>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75"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41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63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36,810</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(69,780</w:t>
            </w:r>
          </w:p>
        </w:tc>
        <w:tc>
          <w:tcPr>
            <w:tcW w:w="174" w:type="dxa"/>
            <w:tcBorders/>
            <w:shd w:fill="CCEEFF" w:val="clear"/>
            <w:vAlign w:val="center"/>
          </w:tcPr>
          <w:p>
            <w:pPr>
              <w:pStyle w:val="TableContents"/>
              <w:bidi w:val="0"/>
              <w:spacing w:before="0" w:after="283"/>
              <w:jc w:val="left"/>
              <w:rPr/>
            </w:pPr>
            <w:r>
              <w:rPr/>
              <w:t>) </w:t>
            </w:r>
          </w:p>
        </w:tc>
      </w:tr>
      <w:tr>
        <w:trPr/>
        <w:tc>
          <w:tcPr>
            <w:tcW w:w="63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75" w:type="dxa"/>
            <w:tcBorders/>
            <w:vAlign w:val="center"/>
          </w:tcPr>
          <w:p>
            <w:pPr>
              <w:pStyle w:val="TableContents"/>
              <w:bidi w:val="0"/>
              <w:spacing w:before="0" w:after="0"/>
              <w:jc w:val="left"/>
              <w:rPr>
                <w:bdr w:val="double" w:sz="6" w:space="1" w:color="000000"/>
              </w:rPr>
            </w:pPr>
            <w:r>
              <w:rPr>
                <w:bdr w:val="double" w:sz="6"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417"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4"/>
        </w:rPr>
      </w:pPr>
      <w:r>
        <w:rPr>
          <w:sz w:val="24"/>
        </w:rPr>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statutory income tax rate is used because the majority of the Group’s operations are based in the PRC.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(ii)</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preferential tax rate resulted in a deduction of the income tax credit computed at the PRC statutory income tax rate of 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0"/>
        <w:gridCol w:w="9800"/>
      </w:tblGrid>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(iii)</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Income tax credit amounting to RMB536,974 result from acquisition of subsidiaries was included in other adjustments for the years ended December 31, 2023.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Upon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Improvements to Income Tax Disclosures, as described in Note 2(z), Summary of Significant Accounting Policies, cash paid for income taxes, net of refunds, during the year ended December 31, 2025 was as follows: </w:t>
      </w:r>
    </w:p>
    <w:p>
      <w:pPr>
        <w:pStyle w:val="TextBody"/>
        <w:bidi w:val="0"/>
        <w:spacing w:before="0" w:after="0"/>
        <w:ind w:left="0" w:right="0" w:hanging="0"/>
        <w:jc w:val="left"/>
        <w:rPr>
          <w:spacing w:val="0"/>
        </w:rPr>
      </w:pPr>
      <w:r>
        <w:rPr>
          <w:spacing w:val="0"/>
        </w:rPr>
        <w:t> </w:t>
      </w:r>
    </w:p>
    <w:tbl>
      <w:tblPr>
        <w:tblW w:w="5769" w:type="dxa"/>
        <w:jc w:val="left"/>
        <w:tblInd w:w="0" w:type="dxa"/>
        <w:tblLayout w:type="fixed"/>
        <w:tblCellMar>
          <w:top w:w="0" w:type="dxa"/>
          <w:left w:w="0" w:type="dxa"/>
          <w:bottom w:w="0" w:type="dxa"/>
          <w:right w:w="0" w:type="dxa"/>
        </w:tblCellMar>
      </w:tblPr>
      <w:tblGrid>
        <w:gridCol w:w="3425"/>
        <w:gridCol w:w="120"/>
        <w:gridCol w:w="173"/>
        <w:gridCol w:w="1976"/>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49" w:type="dxa"/>
            <w:gridSpan w:val="2"/>
            <w:tcBorders/>
            <w:vAlign w:val="center"/>
          </w:tcPr>
          <w:p>
            <w:pPr>
              <w:pStyle w:val="TableContents"/>
              <w:bidi w:val="0"/>
              <w:spacing w:before="0" w:after="0"/>
              <w:jc w:val="center"/>
              <w:rPr>
                <w:b/>
                <w:spacing w:val="0"/>
              </w:rPr>
            </w:pPr>
            <w:r>
              <w:rPr>
                <w:b/>
                <w:spacing w:val="0"/>
              </w:rPr>
              <w:t>For the Year</w:t>
              <w:br/>
              <w:t>Ended 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1976" w:type="dxa"/>
            <w:tcBorders/>
            <w:shd w:fill="CCEEFF" w:val="clear"/>
            <w:vAlign w:val="center"/>
          </w:tcPr>
          <w:p>
            <w:pPr>
              <w:pStyle w:val="TableContents"/>
              <w:bidi w:val="0"/>
              <w:spacing w:before="0" w:after="0"/>
              <w:jc w:val="right"/>
              <w:rPr>
                <w:spacing w:val="0"/>
              </w:rPr>
            </w:pPr>
            <w:r>
              <w:rPr>
                <w:spacing w:val="0"/>
              </w:rPr>
              <w:t>3,012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jurisdictions</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Denmark</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1976" w:type="dxa"/>
            <w:tcBorders/>
            <w:shd w:fill="CCEEFF" w:val="clear"/>
            <w:vAlign w:val="center"/>
          </w:tcPr>
          <w:p>
            <w:pPr>
              <w:pStyle w:val="TableContents"/>
              <w:bidi w:val="0"/>
              <w:spacing w:before="0" w:after="0"/>
              <w:jc w:val="right"/>
              <w:rPr>
                <w:spacing w:val="0"/>
              </w:rPr>
            </w:pPr>
            <w:r>
              <w:rPr>
                <w:spacing w:val="0"/>
              </w:rPr>
              <w:t>5,777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 </w:t>
            </w:r>
          </w:p>
        </w:tc>
        <w:tc>
          <w:tcPr>
            <w:tcW w:w="1976" w:type="dxa"/>
            <w:tcBorders/>
            <w:vAlign w:val="center"/>
          </w:tcPr>
          <w:p>
            <w:pPr>
              <w:pStyle w:val="TableContents"/>
              <w:bidi w:val="0"/>
              <w:spacing w:before="0" w:after="0"/>
              <w:jc w:val="right"/>
              <w:rPr>
                <w:spacing w:val="0"/>
              </w:rPr>
            </w:pPr>
            <w:r>
              <w:rPr>
                <w:spacing w:val="0"/>
              </w:rPr>
              <w:t>5,030</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Norway</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1976" w:type="dxa"/>
            <w:tcBorders/>
            <w:shd w:fill="CCEEFF" w:val="clear"/>
            <w:vAlign w:val="center"/>
          </w:tcPr>
          <w:p>
            <w:pPr>
              <w:pStyle w:val="TableContents"/>
              <w:bidi w:val="0"/>
              <w:spacing w:before="0" w:after="0"/>
              <w:jc w:val="right"/>
              <w:rPr>
                <w:spacing w:val="0"/>
              </w:rPr>
            </w:pPr>
            <w:r>
              <w:rPr>
                <w:spacing w:val="0"/>
              </w:rPr>
              <w:t>1,505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rPr>
            </w:pPr>
            <w:r>
              <w:rPr>
                <w:spacing w:val="0"/>
              </w:rPr>
              <w:t> </w:t>
            </w:r>
          </w:p>
        </w:tc>
        <w:tc>
          <w:tcPr>
            <w:tcW w:w="1976" w:type="dxa"/>
            <w:tcBorders/>
            <w:vAlign w:val="center"/>
          </w:tcPr>
          <w:p>
            <w:pPr>
              <w:pStyle w:val="TableContents"/>
              <w:bidi w:val="0"/>
              <w:spacing w:before="0" w:after="0"/>
              <w:jc w:val="right"/>
              <w:rPr>
                <w:spacing w:val="0"/>
              </w:rPr>
            </w:pPr>
            <w:r>
              <w:rPr>
                <w:spacing w:val="0"/>
              </w:rPr>
              <w:t>1,935</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income taxes, net of refunds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0"/>
              <w:jc w:val="left"/>
              <w:rPr>
                <w:spacing w:val="0"/>
              </w:rPr>
            </w:pPr>
            <w:r>
              <w:rPr>
                <w:spacing w:val="0"/>
              </w:rPr>
              <w:t> </w:t>
            </w:r>
          </w:p>
        </w:tc>
        <w:tc>
          <w:tcPr>
            <w:tcW w:w="1976" w:type="dxa"/>
            <w:tcBorders/>
            <w:shd w:fill="CCEEFF" w:val="clear"/>
            <w:vAlign w:val="center"/>
          </w:tcPr>
          <w:p>
            <w:pPr>
              <w:pStyle w:val="TableContents"/>
              <w:bidi w:val="0"/>
              <w:spacing w:before="0" w:after="0"/>
              <w:jc w:val="right"/>
              <w:rPr>
                <w:spacing w:val="0"/>
              </w:rPr>
            </w:pPr>
            <w:r>
              <w:rPr>
                <w:spacing w:val="0"/>
              </w:rPr>
              <w:t>17,259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F-8</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24. Taxation (continued)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Deferred tax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considers positive and negative evidence to determine whether a portion or all of the deferred tax assets will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4415"/>
        <w:gridCol w:w="120"/>
        <w:gridCol w:w="60"/>
        <w:gridCol w:w="1175"/>
        <w:gridCol w:w="155"/>
        <w:gridCol w:w="120"/>
        <w:gridCol w:w="60"/>
        <w:gridCol w:w="1175"/>
        <w:gridCol w:w="110"/>
      </w:tblGrid>
      <w:tr>
        <w:trPr/>
        <w:tc>
          <w:tcPr>
            <w:tcW w:w="4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1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Deferred tax assets</w:t>
            </w:r>
          </w:p>
          <w:p>
            <w:pPr>
              <w:pStyle w:val="TableContents"/>
              <w:bidi w:val="0"/>
              <w:spacing w:before="0" w:after="0"/>
              <w:jc w:val="left"/>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9,759,109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11,871,230</w:t>
            </w:r>
          </w:p>
        </w:tc>
        <w:tc>
          <w:tcPr>
            <w:tcW w:w="11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37,151</w:t>
            </w:r>
          </w:p>
        </w:tc>
        <w:tc>
          <w:tcPr>
            <w:tcW w:w="11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43,592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38,462</w:t>
            </w:r>
          </w:p>
        </w:tc>
        <w:tc>
          <w:tcPr>
            <w:tcW w:w="11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81,922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113,168</w:t>
            </w:r>
          </w:p>
        </w:tc>
        <w:tc>
          <w:tcPr>
            <w:tcW w:w="11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1,474,063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1,402,617</w:t>
            </w:r>
          </w:p>
        </w:tc>
        <w:tc>
          <w:tcPr>
            <w:tcW w:w="11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462,825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908,345</w:t>
            </w:r>
          </w:p>
        </w:tc>
        <w:tc>
          <w:tcPr>
            <w:tcW w:w="11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(10,870,573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(12,879,997</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pPr>
            <w:r>
              <w:rPr/>
              <w:t> </w:t>
            </w:r>
          </w:p>
        </w:tc>
      </w:tr>
      <w:tr>
        <w:trPr/>
        <w:tc>
          <w:tcPr>
            <w:tcW w:w="4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deferred tax assets, net of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984,657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1,490,976</w:t>
            </w:r>
          </w:p>
        </w:tc>
        <w:tc>
          <w:tcPr>
            <w:tcW w:w="11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5215" w:type="dxa"/>
        <w:jc w:val="left"/>
        <w:tblInd w:w="0" w:type="dxa"/>
        <w:tblLayout w:type="fixed"/>
        <w:tblCellMar>
          <w:top w:w="0" w:type="dxa"/>
          <w:left w:w="0" w:type="dxa"/>
          <w:bottom w:w="0" w:type="dxa"/>
          <w:right w:w="0" w:type="dxa"/>
        </w:tblCellMar>
      </w:tblPr>
      <w:tblGrid>
        <w:gridCol w:w="2420"/>
        <w:gridCol w:w="120"/>
        <w:gridCol w:w="60"/>
        <w:gridCol w:w="1055"/>
        <w:gridCol w:w="155"/>
        <w:gridCol w:w="120"/>
        <w:gridCol w:w="60"/>
        <w:gridCol w:w="1055"/>
        <w:gridCol w:w="170"/>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05" w:type="dxa"/>
            <w:gridSpan w:val="6"/>
            <w:tcBorders/>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24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15"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24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Deferred tax liabilities</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(462,906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(930,717</w:t>
            </w:r>
          </w:p>
        </w:tc>
        <w:tc>
          <w:tcPr>
            <w:tcW w:w="170" w:type="dxa"/>
            <w:tcBorders/>
            <w:vAlign w:val="center"/>
          </w:tcPr>
          <w:p>
            <w:pPr>
              <w:pStyle w:val="TableContents"/>
              <w:bidi w:val="0"/>
              <w:spacing w:before="0" w:after="283"/>
              <w:jc w:val="left"/>
              <w:rPr/>
            </w:pPr>
            <w:r>
              <w:rPr/>
              <w:t>)</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(833,393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(715,368</w:t>
            </w:r>
          </w:p>
        </w:tc>
        <w:tc>
          <w:tcPr>
            <w:tcW w:w="170"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(137,049</w:t>
            </w:r>
          </w:p>
        </w:tc>
        <w:tc>
          <w:tcPr>
            <w:tcW w:w="170" w:type="dxa"/>
            <w:tcBorders/>
            <w:vAlign w:val="center"/>
          </w:tcPr>
          <w:p>
            <w:pPr>
              <w:pStyle w:val="TableContents"/>
              <w:bidi w:val="0"/>
              <w:spacing w:before="0" w:after="283"/>
              <w:jc w:val="left"/>
              <w:rPr/>
            </w:pPr>
            <w:r>
              <w:rPr/>
              <w:t>)</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(1,296,597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(1,783,134</w:t>
            </w:r>
          </w:p>
        </w:tc>
        <w:tc>
          <w:tcPr>
            <w:tcW w:w="170" w:type="dxa"/>
            <w:tcBorders/>
            <w:shd w:fill="CCEEFF" w:val="clear"/>
            <w:vAlign w:val="center"/>
          </w:tcPr>
          <w:p>
            <w:pPr>
              <w:pStyle w:val="TableContents"/>
              <w:bidi w:val="0"/>
              <w:spacing w:before="0" w:after="283"/>
              <w:jc w:val="left"/>
              <w:rPr/>
            </w:pPr>
            <w:r>
              <w:rPr/>
              <w:t>)</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29,992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38,195</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liabilities,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(341,932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(330,353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NOTES TO CONSOLIDATED FINANCIAL STATEMENTS (CONTINUED)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(All amounts in thousands, except for share and per share data, unless otherwise stated)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24. Taxation (continued)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 Deferred tax</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(continued)</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Movement of valuation allowance is as follow: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22"/>
        </w:rPr>
      </w:pPr>
      <w:r>
        <w:rPr>
          <w:sz w:val="22"/>
        </w:rPr>
      </w:r>
    </w:p>
    <w:tbl>
      <w:tblPr>
        <w:tblW w:w="6935" w:type="dxa"/>
        <w:jc w:val="left"/>
        <w:tblInd w:w="0" w:type="dxa"/>
        <w:tblLayout w:type="fixed"/>
        <w:tblCellMar>
          <w:top w:w="0" w:type="dxa"/>
          <w:left w:w="0" w:type="dxa"/>
          <w:bottom w:w="0" w:type="dxa"/>
          <w:right w:w="0" w:type="dxa"/>
        </w:tblCellMar>
      </w:tblPr>
      <w:tblGrid>
        <w:gridCol w:w="2675"/>
        <w:gridCol w:w="120"/>
        <w:gridCol w:w="60"/>
        <w:gridCol w:w="1100"/>
        <w:gridCol w:w="155"/>
        <w:gridCol w:w="120"/>
        <w:gridCol w:w="60"/>
        <w:gridCol w:w="1100"/>
        <w:gridCol w:w="155"/>
        <w:gridCol w:w="120"/>
        <w:gridCol w:w="60"/>
        <w:gridCol w:w="1100"/>
        <w:gridCol w:w="11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0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10" w:type="dxa"/>
            <w:tcBorders/>
            <w:vAlign w:val="center"/>
          </w:tcPr>
          <w:p>
            <w:pPr>
              <w:pStyle w:val="TableContents"/>
              <w:bidi w:val="0"/>
              <w:spacing w:before="0" w:after="0"/>
              <w:jc w:val="left"/>
              <w:rPr>
                <w:spacing w:val="0"/>
              </w:rPr>
            </w:pPr>
            <w:r>
              <w:rPr>
                <w:spacing w:val="0"/>
              </w:rPr>
              <w:t> </w:t>
            </w:r>
          </w:p>
        </w:tc>
      </w:tr>
      <w:tr>
        <w:trPr/>
        <w:tc>
          <w:tcPr>
            <w:tcW w:w="26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0"/>
              <w:jc w:val="left"/>
              <w:rPr>
                <w:spacing w:val="0"/>
              </w:rPr>
            </w:pPr>
            <w:r>
              <w:rPr>
                <w:spacing w:val="0"/>
              </w:rPr>
              <w:t> </w:t>
            </w:r>
          </w:p>
        </w:tc>
      </w:tr>
      <w:tr>
        <w:trPr/>
        <w:tc>
          <w:tcPr>
            <w:tcW w:w="267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Valuation allowance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beginning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5,763,386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10,277,822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10,870,573</w:t>
            </w:r>
          </w:p>
        </w:tc>
        <w:tc>
          <w:tcPr>
            <w:tcW w:w="11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3,990,147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1,798,296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2,105,516</w:t>
            </w:r>
          </w:p>
        </w:tc>
        <w:tc>
          <w:tcPr>
            <w:tcW w:w="11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536,974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(92,086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(150,721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(224,457</w:t>
            </w:r>
          </w:p>
        </w:tc>
        <w:tc>
          <w:tcPr>
            <w:tcW w:w="110" w:type="dxa"/>
            <w:tcBorders/>
            <w:shd w:fill="CCEEFF" w:val="cle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change in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79,401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(1,054,824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128,365</w:t>
            </w:r>
          </w:p>
        </w:tc>
        <w:tc>
          <w:tcPr>
            <w:tcW w:w="11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end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10,277,822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10,870,573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12,879,997</w:t>
            </w:r>
          </w:p>
        </w:tc>
        <w:tc>
          <w:tcPr>
            <w:tcW w:w="11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00" w:after="0"/>
        <w:ind w:left="0" w:right="0" w:hanging="0"/>
        <w:jc w:val="left"/>
        <w:rPr>
          <w:rFonts w:ascii="Times New Roman" w:hAnsi="Times New Roman"/>
          <w:spacing w:val="0"/>
          <w:sz w:val="20"/>
        </w:rPr>
      </w:pPr>
      <w:r>
        <w:rPr>
          <w:rFonts w:ascii="Times New Roman" w:hAnsi="Times New Roman"/>
          <w:spacing w:val="0"/>
          <w:sz w:val="20"/>
        </w:rPr>
        <w:t xml:space="preserve">The Group has tax losses arising in Chinese Mainland of RMB51,061,235 that will expire in one to ten years for deduction against future taxable profits. </w:t>
      </w:r>
    </w:p>
    <w:p>
      <w:pPr>
        <w:pStyle w:val="TextBody"/>
        <w:bidi w:val="0"/>
        <w:spacing w:before="0" w:after="0"/>
        <w:ind w:left="0" w:right="0" w:hanging="0"/>
        <w:jc w:val="left"/>
        <w:rPr>
          <w:spacing w:val="0"/>
        </w:rPr>
      </w:pPr>
      <w:r>
        <w:rPr>
          <w:spacing w:val="0"/>
        </w:rPr>
        <w:t> </w:t>
      </w:r>
    </w:p>
    <w:tbl>
      <w:tblPr>
        <w:tblW w:w="3175" w:type="dxa"/>
        <w:jc w:val="left"/>
        <w:tblInd w:w="0" w:type="dxa"/>
        <w:tblLayout w:type="fixed"/>
        <w:tblCellMar>
          <w:top w:w="0" w:type="dxa"/>
          <w:left w:w="0" w:type="dxa"/>
          <w:bottom w:w="0" w:type="dxa"/>
          <w:right w:w="0" w:type="dxa"/>
        </w:tblCellMar>
      </w:tblPr>
      <w:tblGrid>
        <w:gridCol w:w="1820"/>
        <w:gridCol w:w="120"/>
        <w:gridCol w:w="60"/>
        <w:gridCol w:w="1100"/>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2,167,601</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2027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4,800,204</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2028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9,633,770</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2029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9,572,753</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9,573,305</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2,276,506</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3,974,361</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6,438,268</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1,985,264</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expiring in 2035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639,203</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51,061,235</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20" w:after="0"/>
        <w:ind w:left="0" w:right="0" w:hanging="0"/>
        <w:jc w:val="left"/>
        <w:rPr>
          <w:rFonts w:ascii="Times New Roman" w:hAnsi="Times New Roman"/>
          <w:spacing w:val="0"/>
          <w:sz w:val="20"/>
        </w:rPr>
      </w:pPr>
      <w:r>
        <w:rPr>
          <w:rFonts w:ascii="Times New Roman" w:hAnsi="Times New Roman"/>
          <w:spacing w:val="0"/>
          <w:sz w:val="20"/>
        </w:rPr>
        <w:t>The Group has tax losses arising in Hong Kong and Others of RMB1,853,887 that will not expire for deduction against future taxable profit.</w:t>
      </w:r>
    </w:p>
    <w:p>
      <w:pPr>
        <w:pStyle w:val="TextBody"/>
        <w:bidi w:val="0"/>
        <w:spacing w:before="22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22"/>
        </w:rPr>
      </w:pPr>
      <w:r>
        <w:rPr>
          <w:sz w:val="22"/>
        </w:rPr>
      </w:r>
    </w:p>
    <w:tbl>
      <w:tblPr>
        <w:tblW w:w="2215" w:type="dxa"/>
        <w:jc w:val="left"/>
        <w:tblInd w:w="0" w:type="dxa"/>
        <w:tblLayout w:type="fixed"/>
        <w:tblCellMar>
          <w:top w:w="0" w:type="dxa"/>
          <w:left w:w="0" w:type="dxa"/>
          <w:bottom w:w="0" w:type="dxa"/>
          <w:right w:w="0" w:type="dxa"/>
        </w:tblCellMar>
      </w:tblPr>
      <w:tblGrid>
        <w:gridCol w:w="980"/>
        <w:gridCol w:w="120"/>
        <w:gridCol w:w="60"/>
        <w:gridCol w:w="980"/>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908,234</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945,653</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1,853,887</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Uncertain Tax Positions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did not have significant unrecognized uncertain tax positions or any unrecognized liabilities, interest or penalties associated with unrecognized tax benefit as of and for the years ended December 31, 2023, 2024 and 2025. </w:t>
      </w:r>
    </w:p>
    <w:p>
      <w:pPr>
        <w:pStyle w:val="TextBody"/>
        <w:bidi w:val="0"/>
        <w:spacing w:before="320" w:after="0"/>
        <w:ind w:left="0" w:right="0" w:hanging="0"/>
        <w:jc w:val="left"/>
        <w:rPr>
          <w:rFonts w:ascii="Times New Roman" w:hAnsi="Times New Roman"/>
          <w:b/>
          <w:spacing w:val="0"/>
          <w:sz w:val="20"/>
        </w:rPr>
      </w:pPr>
      <w:r>
        <w:rPr>
          <w:rFonts w:ascii="Times New Roman" w:hAnsi="Times New Roman"/>
          <w:b/>
          <w:spacing w:val="0"/>
          <w:sz w:val="20"/>
        </w:rPr>
        <w:t xml:space="preserve">25. Loss Per Share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Basic loss per share and diluted loss per share have been calculated in accordance with ASC 260 on computation of earnings per share for the years ended December 31, 2023, 2024 and 2025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85"/>
        <w:gridCol w:w="120"/>
        <w:gridCol w:w="60"/>
        <w:gridCol w:w="1400"/>
        <w:gridCol w:w="155"/>
        <w:gridCol w:w="120"/>
        <w:gridCol w:w="60"/>
        <w:gridCol w:w="1400"/>
        <w:gridCol w:w="155"/>
        <w:gridCol w:w="120"/>
        <w:gridCol w:w="60"/>
        <w:gridCol w:w="1400"/>
        <w:gridCol w:w="17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9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498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498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Numerator:</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(10,375,775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(5,790,264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(1,139,460</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 of XPeng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(10,375,775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(5,790,264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(1,139,460</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ordinary shares outstanding-basic and 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1,740,921,519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1,891,357,212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1,903,989,310</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4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 attributable to ordinary shareholders of XPeng Inc.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(0.60</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4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NOTES TO CONSOLIDATED FINANCIAL STATEMENTS (CONTINUED)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(All amounts in thousands, except for share and per share data, unless otherwise stated)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25. Loss Per Share (continued) </w:t>
      </w:r>
    </w:p>
    <w:p>
      <w:pPr>
        <w:pStyle w:val="TextBody"/>
        <w:bidi w:val="0"/>
        <w:spacing w:before="0" w:after="0"/>
        <w:jc w:val="left"/>
        <w:rPr>
          <w:spacing w:val="0"/>
        </w:rPr>
      </w:pPr>
      <w:r>
        <w:rPr>
          <w:spacing w:val="0"/>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For the years ended</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December 31, 2023, 2024 and 2025, the Company had potential ordinary shares, including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RSUs granted and contingently issuable shares relating to contingent consideration (Note 5). As the Group incurred losses for the years ended December 31, 2023, 2024 and 2025, these potential ordinary shares were anti-dilutive and excluded from the calculation of diluted net loss per share of the Company. The weighted-average numbers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RSUs excluded from the calculation of diluted net loss per share of the Company were </w:t>
      </w:r>
    </w:p>
    <w:p>
      <w:pPr>
        <w:pStyle w:val="TextBody"/>
        <w:bidi w:val="0"/>
        <w:spacing w:before="0" w:after="0"/>
        <w:jc w:val="left"/>
        <w:rPr>
          <w:rFonts w:ascii="Times New Roman" w:hAnsi="Times New Roman"/>
          <w:sz w:val="20"/>
        </w:rPr>
      </w:pPr>
      <w:r>
        <w:rPr>
          <w:rFonts w:ascii="Times New Roman" w:hAnsi="Times New Roman"/>
          <w:sz w:val="20"/>
        </w:rPr>
        <w:t>34,385,852</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31,407,488</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45,303,768</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2023, 2024 and 2025, respectively. The number of contingently issuable shares relating to contingent consideration excluded from the calculation of diluted net loss per share of the Company is between </w:t>
      </w:r>
    </w:p>
    <w:p>
      <w:pPr>
        <w:pStyle w:val="TextBody"/>
        <w:bidi w:val="0"/>
        <w:spacing w:before="0" w:after="0"/>
        <w:jc w:val="left"/>
        <w:rPr>
          <w:rFonts w:ascii="Times New Roman" w:hAnsi="Times New Roman"/>
          <w:sz w:val="20"/>
        </w:rPr>
      </w:pPr>
      <w:r>
        <w:rPr>
          <w:rFonts w:ascii="Times New Roman" w:hAnsi="Times New Roman"/>
          <w:sz w:val="20"/>
        </w:rPr>
        <w:t>nil</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32,967,573</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between </w:t>
      </w:r>
    </w:p>
    <w:p>
      <w:pPr>
        <w:pStyle w:val="TextBody"/>
        <w:bidi w:val="0"/>
        <w:spacing w:before="0" w:after="0"/>
        <w:jc w:val="left"/>
        <w:rPr>
          <w:rFonts w:ascii="Times New Roman" w:hAnsi="Times New Roman"/>
          <w:sz w:val="20"/>
        </w:rPr>
      </w:pPr>
      <w:r>
        <w:rPr>
          <w:rFonts w:ascii="Times New Roman" w:hAnsi="Times New Roman"/>
          <w:sz w:val="20"/>
        </w:rPr>
        <w:t>nil</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14,276,521</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between </w:t>
      </w:r>
    </w:p>
    <w:p>
      <w:pPr>
        <w:pStyle w:val="TextBody"/>
        <w:bidi w:val="0"/>
        <w:spacing w:before="0" w:after="0"/>
        <w:jc w:val="left"/>
        <w:rPr>
          <w:rFonts w:ascii="Times New Roman" w:hAnsi="Times New Roman"/>
          <w:sz w:val="20"/>
        </w:rPr>
      </w:pPr>
      <w:r>
        <w:rPr>
          <w:rFonts w:ascii="Times New Roman" w:hAnsi="Times New Roman"/>
          <w:sz w:val="20"/>
        </w:rPr>
        <w:t>nil</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0" w:after="0"/>
        <w:jc w:val="left"/>
        <w:rPr>
          <w:rFonts w:ascii="Times New Roman" w:hAnsi="Times New Roman"/>
          <w:sz w:val="20"/>
        </w:rPr>
      </w:pPr>
      <w:r>
        <w:rPr>
          <w:rFonts w:ascii="Times New Roman" w:hAnsi="Times New Roman"/>
          <w:sz w:val="20"/>
        </w:rPr>
        <w:t>14,276,521</w:t>
      </w:r>
    </w:p>
    <w:p>
      <w:pPr>
        <w:pStyle w:val="TextBody"/>
        <w:bidi w:val="0"/>
        <w:spacing w:before="0" w:after="0"/>
        <w:jc w:val="left"/>
        <w:rPr>
          <w:rFonts w:ascii="Times New Roman" w:hAnsi="Times New Roman"/>
          <w:spacing w:val="0"/>
          <w:sz w:val="20"/>
        </w:rPr>
      </w:pPr>
      <w:r>
        <w:rPr>
          <w:rFonts w:ascii="Times New Roman" w:hAnsi="Times New Roman"/>
          <w:spacing w:val="0"/>
          <w:sz w:val="20"/>
        </w:rPr>
        <w:t>as of December 31, 2023, 2024 and 2025, respectively.</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26.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 principal related parties with which the Group had transactions during the years presented are as follows: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4565"/>
        <w:gridCol w:w="120"/>
        <w:gridCol w:w="539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90" w:type="dxa"/>
            <w:tcBorders/>
            <w:vAlign w:val="center"/>
          </w:tcPr>
          <w:p>
            <w:pPr>
              <w:pStyle w:val="TableContents"/>
              <w:bidi w:val="0"/>
              <w:spacing w:before="0" w:after="283"/>
              <w:jc w:val="left"/>
              <w:rPr>
                <w:sz w:val="4"/>
                <w:szCs w:val="4"/>
              </w:rPr>
            </w:pPr>
            <w:r>
              <w:rPr>
                <w:sz w:val="4"/>
                <w:szCs w:val="4"/>
              </w:rPr>
            </w:r>
          </w:p>
        </w:tc>
      </w:tr>
      <w:tr>
        <w:trPr/>
        <w:tc>
          <w:tcPr>
            <w:tcW w:w="45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Entity or Individual</w:t>
            </w:r>
          </w:p>
        </w:tc>
        <w:tc>
          <w:tcPr>
            <w:tcW w:w="120" w:type="dxa"/>
            <w:tcBorders/>
            <w:vAlign w:val="center"/>
          </w:tcPr>
          <w:p>
            <w:pPr>
              <w:pStyle w:val="TableContents"/>
              <w:bidi w:val="0"/>
              <w:spacing w:before="0" w:after="283"/>
              <w:jc w:val="left"/>
              <w:rPr/>
            </w:pPr>
            <w:r>
              <w:rPr/>
              <w:t>  </w:t>
            </w:r>
          </w:p>
        </w:tc>
        <w:tc>
          <w:tcPr>
            <w:tcW w:w="53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Relationship with the Company</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Xiaopeng He</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Shareholder of the Company, Chairman of the Board</w:t>
              <w:br/>
              <w:t>and Chief Executive Officer</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Hongdi Brian Gu</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Honorary Vice Chairman of the Board and President</w:t>
            </w:r>
          </w:p>
        </w:tc>
      </w:tr>
      <w:tr>
        <w:trPr/>
        <w:tc>
          <w:tcPr>
            <w:tcW w:w="4565" w:type="dxa"/>
            <w:tcBorders/>
            <w:vAlign w:val="center"/>
          </w:tcPr>
          <w:p>
            <w:pPr>
              <w:pStyle w:val="TableContents"/>
              <w:bidi w:val="0"/>
              <w:spacing w:before="0" w:after="0"/>
              <w:jc w:val="left"/>
              <w:rPr/>
            </w:pPr>
            <w:r>
              <w:rPr/>
              <w:t>Mr. Tao He</w:t>
            </w:r>
          </w:p>
          <w:p>
            <w:pPr>
              <w:pStyle w:val="TableContents"/>
              <w:bidi w:val="0"/>
              <w:spacing w:before="0" w:after="0"/>
              <w:jc w:val="left"/>
              <w:rPr>
                <w:sz w:val="12"/>
              </w:rPr>
            </w:pPr>
            <w:r>
              <w:rPr>
                <w:sz w:val="12"/>
              </w:rPr>
              <w:t>(2)</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Former Senior Vice President</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 Flying Car Inc.</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 Shareholder</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HT Flying Car (Hong Kong) Limited</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 Shareholder</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Huitian Aerospace Technology Co., Ltd.</w:t>
              <w:br/>
              <w:t>(“Guangzhou Huitian”)</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w:t>
            </w:r>
          </w:p>
          <w:p>
            <w:pPr>
              <w:pStyle w:val="TableContents"/>
              <w:bidi w:val="0"/>
              <w:spacing w:before="0" w:after="20"/>
              <w:jc w:val="left"/>
              <w:rPr>
                <w:rFonts w:ascii="Times New Roman" w:hAnsi="Times New Roman"/>
                <w:sz w:val="20"/>
              </w:rPr>
            </w:pPr>
            <w:r>
              <w:rPr>
                <w:rFonts w:ascii="Times New Roman" w:hAnsi="Times New Roman"/>
                <w:sz w:val="20"/>
              </w:rPr>
              <w:t>Shareholder</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Guangdong Huitian Aerospace Technology Co., Ltd.</w:t>
              <w:br/>
              <w:t>(“Guangdong Huitian”)</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w:t>
            </w:r>
          </w:p>
          <w:p>
            <w:pPr>
              <w:pStyle w:val="TableContents"/>
              <w:bidi w:val="0"/>
              <w:spacing w:before="0" w:after="20"/>
              <w:jc w:val="left"/>
              <w:rPr>
                <w:rFonts w:ascii="Times New Roman" w:hAnsi="Times New Roman"/>
                <w:sz w:val="20"/>
              </w:rPr>
            </w:pPr>
            <w:r>
              <w:rPr>
                <w:rFonts w:ascii="Times New Roman" w:hAnsi="Times New Roman"/>
                <w:sz w:val="20"/>
              </w:rPr>
              <w:t>Shareholder</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Huitian Flying Car Manufacturing Co., Ltd.</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 Shareholder</w:t>
            </w:r>
          </w:p>
        </w:tc>
      </w:tr>
      <w:tr>
        <w:trPr/>
        <w:tc>
          <w:tcPr>
            <w:tcW w:w="4565" w:type="dxa"/>
            <w:tcBorders/>
            <w:vAlign w:val="center"/>
          </w:tcPr>
          <w:p>
            <w:pPr>
              <w:pStyle w:val="TableContents"/>
              <w:bidi w:val="0"/>
              <w:spacing w:before="0" w:after="283"/>
              <w:jc w:val="left"/>
              <w:rPr/>
            </w:pPr>
            <w:r>
              <w:rPr/>
              <w:t>Guangzhou Huitian Manufacturing Co., Ltd.</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 Shareholder</w:t>
            </w:r>
          </w:p>
        </w:tc>
      </w:tr>
      <w:tr>
        <w:trPr/>
        <w:tc>
          <w:tcPr>
            <w:tcW w:w="4565" w:type="dxa"/>
            <w:tcBorders/>
            <w:vAlign w:val="center"/>
          </w:tcPr>
          <w:p>
            <w:pPr>
              <w:pStyle w:val="TableContents"/>
              <w:bidi w:val="0"/>
              <w:spacing w:before="0" w:after="283"/>
              <w:jc w:val="left"/>
              <w:rPr/>
            </w:pPr>
            <w:r>
              <w:rPr/>
              <w:t>Foshan Huitian Aviation Technology Co., Ltd.</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Significantly Influenced by the Principal Shareholder</w:t>
            </w:r>
          </w:p>
        </w:tc>
      </w:tr>
      <w:tr>
        <w:trPr/>
        <w:tc>
          <w:tcPr>
            <w:tcW w:w="4565" w:type="dxa"/>
            <w:tcBorders/>
            <w:vAlign w:val="center"/>
          </w:tcPr>
          <w:p>
            <w:pPr>
              <w:pStyle w:val="TableContents"/>
              <w:bidi w:val="0"/>
              <w:spacing w:before="0" w:after="0"/>
              <w:jc w:val="left"/>
              <w:rPr/>
            </w:pPr>
            <w:r>
              <w:rPr/>
              <w:t>Rockets Capital L.P.</w:t>
            </w:r>
          </w:p>
          <w:p>
            <w:pPr>
              <w:pStyle w:val="TableContents"/>
              <w:bidi w:val="0"/>
              <w:spacing w:before="0" w:after="0"/>
              <w:jc w:val="left"/>
              <w:rPr>
                <w:sz w:val="12"/>
              </w:rPr>
            </w:pPr>
            <w:r>
              <w:rPr>
                <w:sz w:val="12"/>
              </w:rPr>
              <w:t>(1)</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Partnership Significantly Influenced by the</w:t>
            </w:r>
          </w:p>
          <w:p>
            <w:pPr>
              <w:pStyle w:val="TableContents"/>
              <w:bidi w:val="0"/>
              <w:spacing w:before="0" w:after="20"/>
              <w:jc w:val="left"/>
              <w:rPr>
                <w:rFonts w:ascii="Times New Roman" w:hAnsi="Times New Roman"/>
                <w:sz w:val="20"/>
              </w:rPr>
            </w:pPr>
            <w:r>
              <w:rPr>
                <w:rFonts w:ascii="Times New Roman" w:hAnsi="Times New Roman"/>
                <w:sz w:val="20"/>
              </w:rPr>
              <w:t>Company</w:t>
            </w:r>
          </w:p>
        </w:tc>
      </w:tr>
      <w:tr>
        <w:trPr/>
        <w:tc>
          <w:tcPr>
            <w:tcW w:w="4565" w:type="dxa"/>
            <w:tcBorders/>
            <w:vAlign w:val="center"/>
          </w:tcPr>
          <w:p>
            <w:pPr>
              <w:pStyle w:val="TableContents"/>
              <w:bidi w:val="0"/>
              <w:spacing w:before="0" w:after="0"/>
              <w:jc w:val="left"/>
              <w:rPr/>
            </w:pPr>
            <w:r>
              <w:rPr/>
              <w:t>Guangzhou Xuetao</w:t>
            </w:r>
          </w:p>
          <w:p>
            <w:pPr>
              <w:pStyle w:val="TableContents"/>
              <w:bidi w:val="0"/>
              <w:spacing w:before="0" w:after="0"/>
              <w:jc w:val="left"/>
              <w:rPr>
                <w:sz w:val="12"/>
              </w:rPr>
            </w:pPr>
            <w:r>
              <w:rPr>
                <w:sz w:val="12"/>
              </w:rPr>
              <w:t>(2)</w:t>
            </w:r>
          </w:p>
        </w:tc>
        <w:tc>
          <w:tcPr>
            <w:tcW w:w="1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Controlled by the Company Secretary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the principal shareholder and the President are the shareholders of the General Partner of Rockets Capital L.P. and the President is entitled to appoint one out of three directors of the General Partner. The Group, together with its related parties, can exercise significant influence over Rockets Capital L.P. (Note 13(iv)).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Tao He joined the Company as senior vice president in January 2015 and was appointed as director in March 2020. In July 2021, he resigned from the directorship with effect from the Global Offering. Since June 2022, he established and jointly controlled Guangzhou Xuetao with 50% equity interests. He had resigned from senior vice president since April 2023. The Company Secretary of the Group controlled Guangzhou Xuetao with 100% equity interests after Mr. Tao He withdrew his shareholding in Guangzhou Xuetao in February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26.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Related parties (continued)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290"/>
        <w:gridCol w:w="3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Major transactions with related parties: </w:t>
            </w:r>
          </w:p>
        </w:tc>
      </w:tr>
    </w:tbl>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75"/>
        <w:gridCol w:w="230"/>
        <w:gridCol w:w="8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Non-trade</w:t>
            </w:r>
          </w:p>
          <w:p>
            <w:pPr>
              <w:pStyle w:val="TableContents"/>
              <w:bidi w:val="0"/>
              <w:spacing w:before="0" w:after="0"/>
              <w:jc w:val="left"/>
              <w:rPr>
                <w:rFonts w:ascii="Times New Roman" w:hAnsi="Times New Roman"/>
                <w:sz w:val="20"/>
              </w:rPr>
            </w:pPr>
            <w:r>
              <w:rPr>
                <w:rFonts w:ascii="Times New Roman" w:hAnsi="Times New Roman"/>
                <w:sz w:val="20"/>
              </w:rPr>
              <w:t xml:space="preserve">in nature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852"/>
        <w:gridCol w:w="120"/>
        <w:gridCol w:w="60"/>
        <w:gridCol w:w="576"/>
        <w:gridCol w:w="60"/>
        <w:gridCol w:w="122"/>
        <w:gridCol w:w="61"/>
        <w:gridCol w:w="514"/>
        <w:gridCol w:w="60"/>
        <w:gridCol w:w="122"/>
        <w:gridCol w:w="61"/>
        <w:gridCol w:w="514"/>
        <w:gridCol w:w="83"/>
      </w:tblGrid>
      <w:tr>
        <w:trPr/>
        <w:tc>
          <w:tcPr>
            <w:tcW w:w="7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785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150" w:type="dxa"/>
            <w:gridSpan w:val="10"/>
            <w:tcBorders/>
            <w:vAlign w:val="center"/>
          </w:tcPr>
          <w:p>
            <w:pPr>
              <w:pStyle w:val="TableContents"/>
              <w:bidi w:val="0"/>
              <w:spacing w:before="0" w:after="0"/>
              <w:jc w:val="center"/>
              <w:rPr>
                <w:b/>
                <w:spacing w:val="0"/>
              </w:rPr>
            </w:pPr>
            <w:r>
              <w:rPr>
                <w:b/>
                <w:spacing w:val="0"/>
              </w:rPr>
              <w:t>For the 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83" w:type="dxa"/>
            <w:tcBorders/>
            <w:vAlign w:val="center"/>
          </w:tcPr>
          <w:p>
            <w:pPr>
              <w:pStyle w:val="TableContents"/>
              <w:bidi w:val="0"/>
              <w:spacing w:before="0" w:after="0"/>
              <w:jc w:val="left"/>
              <w:rPr/>
            </w:pPr>
            <w:r>
              <w:rPr/>
              <w:t> </w:t>
            </w:r>
          </w:p>
        </w:tc>
      </w:tr>
      <w:tr>
        <w:trPr/>
        <w:tc>
          <w:tcPr>
            <w:tcW w:w="785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36"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pPr>
            <w:r>
              <w:rPr/>
              <w:t> </w:t>
            </w:r>
          </w:p>
        </w:tc>
        <w:tc>
          <w:tcPr>
            <w:tcW w:w="122"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pPr>
            <w:r>
              <w:rPr/>
              <w:t> </w:t>
            </w:r>
          </w:p>
        </w:tc>
        <w:tc>
          <w:tcPr>
            <w:tcW w:w="122" w:type="dxa"/>
            <w:tcBorders/>
            <w:vAlign w:val="center"/>
          </w:tcPr>
          <w:p>
            <w:pPr>
              <w:pStyle w:val="TableContents"/>
              <w:bidi w:val="0"/>
              <w:spacing w:before="0" w:after="0"/>
              <w:jc w:val="left"/>
              <w:rPr/>
            </w:pPr>
            <w:r>
              <w:rPr/>
              <w:t>  </w:t>
            </w:r>
          </w:p>
        </w:tc>
        <w:tc>
          <w:tcPr>
            <w:tcW w:w="575" w:type="dxa"/>
            <w:gridSpan w:val="2"/>
            <w:tcBorders/>
            <w:vAlign w:val="center"/>
          </w:tcPr>
          <w:p>
            <w:pPr>
              <w:pStyle w:val="TableContents"/>
              <w:bidi w:val="0"/>
              <w:spacing w:before="0" w:after="0"/>
              <w:jc w:val="center"/>
              <w:rPr>
                <w:b/>
                <w:spacing w:val="0"/>
              </w:rPr>
            </w:pPr>
            <w:r>
              <w:rPr>
                <w:b/>
                <w:spacing w:val="0"/>
              </w:rPr>
              <w:t>2025</w:t>
            </w:r>
          </w:p>
        </w:tc>
        <w:tc>
          <w:tcPr>
            <w:tcW w:w="83" w:type="dxa"/>
            <w:tcBorders/>
            <w:vAlign w:val="center"/>
          </w:tcPr>
          <w:p>
            <w:pPr>
              <w:pStyle w:val="TableContents"/>
              <w:bidi w:val="0"/>
              <w:spacing w:before="0" w:after="0"/>
              <w:jc w:val="left"/>
              <w:rPr/>
            </w:pPr>
            <w:r>
              <w:rPr/>
              <w:t> </w:t>
            </w:r>
          </w:p>
        </w:tc>
      </w:tr>
      <w:tr>
        <w:trPr/>
        <w:tc>
          <w:tcPr>
            <w:tcW w:w="7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 on payable due to a company jointly controlled by former senior vice president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2,402</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675" w:type="dxa"/>
        <w:jc w:val="left"/>
        <w:tblInd w:w="0" w:type="dxa"/>
        <w:tblLayout w:type="fixed"/>
        <w:tblCellMar>
          <w:top w:w="0" w:type="dxa"/>
          <w:left w:w="0" w:type="dxa"/>
          <w:bottom w:w="0" w:type="dxa"/>
          <w:right w:w="0" w:type="dxa"/>
        </w:tblCellMar>
      </w:tblPr>
      <w:tblGrid>
        <w:gridCol w:w="75"/>
        <w:gridCol w:w="290"/>
        <w:gridCol w:w="13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in nature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430"/>
        <w:gridCol w:w="120"/>
        <w:gridCol w:w="60"/>
        <w:gridCol w:w="680"/>
        <w:gridCol w:w="60"/>
        <w:gridCol w:w="120"/>
        <w:gridCol w:w="60"/>
        <w:gridCol w:w="680"/>
        <w:gridCol w:w="60"/>
        <w:gridCol w:w="120"/>
        <w:gridCol w:w="60"/>
        <w:gridCol w:w="680"/>
        <w:gridCol w:w="75"/>
      </w:tblGrid>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580" w:type="dxa"/>
            <w:gridSpan w:val="10"/>
            <w:tcBorders/>
            <w:vAlign w:val="center"/>
          </w:tcPr>
          <w:p>
            <w:pPr>
              <w:pStyle w:val="TableContents"/>
              <w:bidi w:val="0"/>
              <w:spacing w:before="0" w:after="0"/>
              <w:jc w:val="center"/>
              <w:rPr>
                <w:b/>
                <w:spacing w:val="0"/>
              </w:rPr>
            </w:pPr>
            <w:r>
              <w:rPr>
                <w:b/>
                <w:spacing w:val="0"/>
              </w:rPr>
              <w:t>For the 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7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of operational support services to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14,823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89,624</w:t>
            </w:r>
          </w:p>
        </w:tc>
        <w:tc>
          <w:tcPr>
            <w:tcW w:w="75" w:type="dxa"/>
            <w:tcBorders/>
            <w:shd w:fill="CCEEFF" w:val="cle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of leasing services to companies significantly influenced by Principal Shareholder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1,110</w:t>
            </w:r>
          </w:p>
        </w:tc>
        <w:tc>
          <w:tcPr>
            <w:tcW w:w="75"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of property, plant and equipment to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4,248</w:t>
            </w:r>
          </w:p>
        </w:tc>
        <w:tc>
          <w:tcPr>
            <w:tcW w:w="75" w:type="dxa"/>
            <w:tcBorders/>
            <w:shd w:fill="CCEEFF" w:val="cle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goods to companies significantly influenced by Principal Shareholder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11,435</w:t>
            </w:r>
          </w:p>
        </w:tc>
        <w:tc>
          <w:tcPr>
            <w:tcW w:w="75"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goods from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w:t>
            </w:r>
          </w:p>
        </w:tc>
        <w:tc>
          <w:tcPr>
            <w:tcW w:w="75" w:type="dxa"/>
            <w:tcBorders/>
            <w:shd w:fill="CCEEFF" w:val="cle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services from companies significantly influenced by Principal Shareholder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13,289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26. Related parties (continued)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290"/>
        <w:gridCol w:w="28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due from related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00"/>
        <w:gridCol w:w="120"/>
        <w:gridCol w:w="64"/>
        <w:gridCol w:w="730"/>
        <w:gridCol w:w="64"/>
        <w:gridCol w:w="128"/>
        <w:gridCol w:w="64"/>
        <w:gridCol w:w="858"/>
        <w:gridCol w:w="77"/>
      </w:tblGrid>
      <w:tr>
        <w:trPr/>
        <w:tc>
          <w:tcPr>
            <w:tcW w:w="8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7" w:type="dxa"/>
            <w:tcBorders/>
            <w:vAlign w:val="center"/>
          </w:tcPr>
          <w:p>
            <w:pPr>
              <w:pStyle w:val="TableContents"/>
              <w:bidi w:val="0"/>
              <w:spacing w:before="0" w:after="283"/>
              <w:jc w:val="left"/>
              <w:rPr/>
            </w:pPr>
            <w:r>
              <w:rPr/>
              <w:t> </w:t>
            </w:r>
          </w:p>
        </w:tc>
      </w:tr>
      <w:tr>
        <w:trPr/>
        <w:tc>
          <w:tcPr>
            <w:tcW w:w="8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7" w:type="dxa"/>
            <w:tcBorders/>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for operation support service to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41,889</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95,948</w:t>
            </w:r>
          </w:p>
        </w:tc>
        <w:tc>
          <w:tcPr>
            <w:tcW w:w="77" w:type="dxa"/>
            <w:tcBorders/>
            <w:shd w:fill="CCEEFF" w:val="clear"/>
            <w:vAlign w:val="center"/>
          </w:tcPr>
          <w:p>
            <w:pPr>
              <w:pStyle w:val="TableContents"/>
              <w:bidi w:val="0"/>
              <w:spacing w:before="0" w:after="283"/>
              <w:jc w:val="left"/>
              <w:rPr/>
            </w:pPr>
            <w:r>
              <w:rPr/>
              <w:t> </w:t>
            </w:r>
          </w:p>
        </w:tc>
      </w:tr>
      <w:tr>
        <w:trPr/>
        <w:tc>
          <w:tcPr>
            <w:tcW w:w="8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for sales of goods to companies significantly influenced by Principal Shareholder</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1,825</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5,337</w:t>
            </w:r>
          </w:p>
        </w:tc>
        <w:tc>
          <w:tcPr>
            <w:tcW w:w="77" w:type="dxa"/>
            <w:tcBorders/>
            <w:vAlign w:val="center"/>
          </w:tcPr>
          <w:p>
            <w:pPr>
              <w:pStyle w:val="TableContents"/>
              <w:bidi w:val="0"/>
              <w:spacing w:before="0" w:after="283"/>
              <w:jc w:val="left"/>
              <w:rPr/>
            </w:pPr>
            <w:r>
              <w:rPr/>
              <w:t> </w:t>
            </w:r>
          </w:p>
        </w:tc>
      </w:tr>
      <w:tr>
        <w:trPr/>
        <w:tc>
          <w:tcPr>
            <w:tcW w:w="8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for sales of property, plant and equipment to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934</w:t>
            </w:r>
          </w:p>
        </w:tc>
        <w:tc>
          <w:tcPr>
            <w:tcW w:w="77" w:type="dxa"/>
            <w:tcBorders/>
            <w:shd w:fill="CCEEFF" w:val="clear"/>
            <w:vAlign w:val="center"/>
          </w:tcPr>
          <w:p>
            <w:pPr>
              <w:pStyle w:val="TableContents"/>
              <w:bidi w:val="0"/>
              <w:spacing w:before="0" w:after="283"/>
              <w:jc w:val="left"/>
              <w:rPr/>
            </w:pPr>
            <w:r>
              <w:rPr/>
              <w:t> </w:t>
            </w:r>
          </w:p>
        </w:tc>
      </w:tr>
      <w:tr>
        <w:trPr/>
        <w:tc>
          <w:tcPr>
            <w:tcW w:w="8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730" w:type="dxa"/>
            <w:tcBorders/>
            <w:vAlign w:val="center"/>
          </w:tcPr>
          <w:p>
            <w:pPr>
              <w:pStyle w:val="TableContents"/>
              <w:bidi w:val="0"/>
              <w:spacing w:before="0" w:after="0"/>
              <w:jc w:val="left"/>
              <w:rPr>
                <w:bdr w:val="single" w:sz="2" w:space="1" w:color="000000"/>
              </w:rPr>
            </w:pPr>
            <w:r>
              <w:rPr>
                <w:bdr w:val="single" w:sz="2"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8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43,714</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102,219</w:t>
            </w:r>
          </w:p>
        </w:tc>
        <w:tc>
          <w:tcPr>
            <w:tcW w:w="77" w:type="dxa"/>
            <w:tcBorders/>
            <w:vAlign w:val="center"/>
          </w:tcPr>
          <w:p>
            <w:pPr>
              <w:pStyle w:val="TableContents"/>
              <w:bidi w:val="0"/>
              <w:spacing w:before="0" w:after="283"/>
              <w:jc w:val="left"/>
              <w:rPr/>
            </w:pPr>
            <w:r>
              <w:rPr/>
              <w:t> </w:t>
            </w:r>
          </w:p>
        </w:tc>
      </w:tr>
      <w:tr>
        <w:trPr/>
        <w:tc>
          <w:tcPr>
            <w:tcW w:w="8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730" w:type="dxa"/>
            <w:tcBorders/>
            <w:vAlign w:val="center"/>
          </w:tcPr>
          <w:p>
            <w:pPr>
              <w:pStyle w:val="TableContents"/>
              <w:bidi w:val="0"/>
              <w:spacing w:before="0" w:after="0"/>
              <w:jc w:val="left"/>
              <w:rPr>
                <w:bdr w:val="double" w:sz="6" w:space="1" w:color="000000"/>
              </w:rPr>
            </w:pPr>
            <w:r>
              <w:rPr>
                <w:bdr w:val="double" w:sz="6"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290"/>
        <w:gridCol w:w="26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due to related parties: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6215"/>
        <w:gridCol w:w="120"/>
        <w:gridCol w:w="81"/>
        <w:gridCol w:w="765"/>
        <w:gridCol w:w="81"/>
        <w:gridCol w:w="163"/>
        <w:gridCol w:w="81"/>
        <w:gridCol w:w="769"/>
        <w:gridCol w:w="75"/>
      </w:tblGrid>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Payables from companies significantly influenced by Principal Shareholder</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9,362</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1,064</w:t>
            </w:r>
          </w:p>
        </w:tc>
        <w:tc>
          <w:tcPr>
            <w:tcW w:w="75"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companies significantly influenced by Principal Shareholder</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2</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765" w:type="dxa"/>
            <w:tcBorders/>
            <w:vAlign w:val="center"/>
          </w:tcPr>
          <w:p>
            <w:pPr>
              <w:pStyle w:val="TableContents"/>
              <w:bidi w:val="0"/>
              <w:spacing w:before="0" w:after="0"/>
              <w:jc w:val="left"/>
              <w:rPr>
                <w:bdr w:val="single" w:sz="2" w:space="1" w:color="000000"/>
              </w:rPr>
            </w:pPr>
            <w:r>
              <w:rPr>
                <w:bdr w:val="single" w:sz="2" w:space="1" w:color="000000"/>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76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9,364</w:t>
            </w:r>
          </w:p>
        </w:tc>
        <w:tc>
          <w:tcPr>
            <w:tcW w:w="81"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1,064</w:t>
            </w:r>
          </w:p>
        </w:tc>
        <w:tc>
          <w:tcPr>
            <w:tcW w:w="75"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765" w:type="dxa"/>
            <w:tcBorders/>
            <w:vAlign w:val="center"/>
          </w:tcPr>
          <w:p>
            <w:pPr>
              <w:pStyle w:val="TableContents"/>
              <w:bidi w:val="0"/>
              <w:spacing w:before="0" w:after="0"/>
              <w:jc w:val="left"/>
              <w:rPr>
                <w:bdr w:val="double" w:sz="6" w:space="1" w:color="000000"/>
              </w:rPr>
            </w:pPr>
            <w:r>
              <w:rPr>
                <w:bdr w:val="double" w:sz="6" w:space="1" w:color="000000"/>
              </w:rPr>
              <w:t> </w:t>
            </w:r>
          </w:p>
        </w:tc>
        <w:tc>
          <w:tcPr>
            <w:tcW w:w="81"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76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290"/>
        <w:gridCol w:w="21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Commitment: </w:t>
            </w:r>
          </w:p>
        </w:tc>
      </w:tr>
    </w:tbl>
    <w:p>
      <w:pPr>
        <w:pStyle w:val="TextBody"/>
        <w:bidi w:val="0"/>
        <w:spacing w:before="0" w:after="0"/>
        <w:jc w:val="left"/>
        <w:rPr/>
      </w:pPr>
      <w:r>
        <w:rPr/>
        <w:t> </w:t>
      </w:r>
    </w:p>
    <w:tbl>
      <w:tblPr>
        <w:tblW w:w="9847" w:type="dxa"/>
        <w:jc w:val="left"/>
        <w:tblInd w:w="0" w:type="dxa"/>
        <w:tblLayout w:type="fixed"/>
        <w:tblCellMar>
          <w:top w:w="0" w:type="dxa"/>
          <w:left w:w="0" w:type="dxa"/>
          <w:bottom w:w="0" w:type="dxa"/>
          <w:right w:w="0" w:type="dxa"/>
        </w:tblCellMar>
      </w:tblPr>
      <w:tblGrid>
        <w:gridCol w:w="7715"/>
        <w:gridCol w:w="120"/>
        <w:gridCol w:w="61"/>
        <w:gridCol w:w="816"/>
        <w:gridCol w:w="61"/>
        <w:gridCol w:w="122"/>
        <w:gridCol w:w="61"/>
        <w:gridCol w:w="816"/>
        <w:gridCol w:w="75"/>
      </w:tblGrid>
      <w:tr>
        <w:trPr/>
        <w:tc>
          <w:tcPr>
            <w:tcW w:w="7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7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commitment to a partnership significantly influenced by the Company (Note 27(a))</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404,846</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293,480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27.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Capital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contracted for at the balance sheet dates but not recognized in the consolidated financial statements are as follows: </w:t>
      </w:r>
    </w:p>
    <w:p>
      <w:pPr>
        <w:pStyle w:val="TextBody"/>
        <w:bidi w:val="0"/>
        <w:spacing w:before="0" w:after="0"/>
        <w:jc w:val="left"/>
        <w:rPr/>
      </w:pPr>
      <w:r>
        <w:rPr/>
        <w:t> </w:t>
      </w:r>
    </w:p>
    <w:tbl>
      <w:tblPr>
        <w:tblW w:w="4770" w:type="dxa"/>
        <w:jc w:val="left"/>
        <w:tblInd w:w="0" w:type="dxa"/>
        <w:tblLayout w:type="fixed"/>
        <w:tblCellMar>
          <w:top w:w="0" w:type="dxa"/>
          <w:left w:w="0" w:type="dxa"/>
          <w:bottom w:w="0" w:type="dxa"/>
          <w:right w:w="0" w:type="dxa"/>
        </w:tblCellMar>
      </w:tblPr>
      <w:tblGrid>
        <w:gridCol w:w="2495"/>
        <w:gridCol w:w="120"/>
        <w:gridCol w:w="60"/>
        <w:gridCol w:w="800"/>
        <w:gridCol w:w="60"/>
        <w:gridCol w:w="120"/>
        <w:gridCol w:w="60"/>
        <w:gridCol w:w="980"/>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404,846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293,480</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312,417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1,815,402</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717,263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2,108,882</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Purchase expenditures contracted for at the balance sheet dates but not recognized in the consolidated financial statements are as follows: </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4235"/>
        <w:gridCol w:w="120"/>
        <w:gridCol w:w="60"/>
        <w:gridCol w:w="980"/>
        <w:gridCol w:w="60"/>
        <w:gridCol w:w="120"/>
        <w:gridCol w:w="60"/>
        <w:gridCol w:w="980"/>
        <w:gridCol w:w="75"/>
      </w:tblGrid>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commitments on purchase of raw materials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3,516,597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4,858,559</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28. Restricted Net Assets </w:t>
      </w:r>
    </w:p>
    <w:p>
      <w:pPr>
        <w:pStyle w:val="TextBody"/>
        <w:bidi w:val="0"/>
        <w:spacing w:before="120" w:after="0"/>
        <w:jc w:val="left"/>
        <w:rPr>
          <w:rFonts w:ascii="Times New Roman" w:hAnsi="Times New Roman"/>
          <w:sz w:val="20"/>
        </w:rPr>
      </w:pPr>
      <w:r>
        <w:rPr>
          <w:rFonts w:ascii="Times New Roman" w:hAnsi="Times New Roman"/>
          <w:sz w:val="20"/>
        </w:rPr>
        <w:t xml:space="preserve">The Group’s ability to pay dividends is primarily dependent on the Group receiving distributions of funds from its subsidiaries. Relevant PRC statutory laws and regulations permit payments of dividends by the Group’s subsidiaries, consolidated VIEs and VIEs’ subsidiaries incorporated in the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accordance with the Company Law of the PRC, a domestic enterprise is required to provide statutory surplus fund at least 10% of its annual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these PRC laws and regulations that require annual appropriations of 10% of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to be set aside prior to payment of dividends as general reserve fund or statutory surplus fund, the Group’s PRC subsidiaries, consolidated VIEs and VIEs’ subsidiaries are restricted in their ability to transfer a portion of their net assets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portion was RMB77,920,358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RMB80,277,094 as of December 31, 2024 and 2025, respectively. Therefore in accordance with Rules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4-08</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 (3)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condensed parent company only financial statements as of December 31, 2024 and 2025 and for the years ended December 31, 2023, 2024 and 2025 are disclosed in Note 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29. Company Financial Statements (Parent Company Only) </w:t>
      </w:r>
    </w:p>
    <w:p>
      <w:pPr>
        <w:pStyle w:val="TextBody"/>
        <w:bidi w:val="0"/>
        <w:spacing w:before="120" w:after="0"/>
        <w:jc w:val="left"/>
        <w:rPr>
          <w:rFonts w:ascii="Times New Roman" w:hAnsi="Times New Roman"/>
          <w:sz w:val="20"/>
        </w:rPr>
      </w:pPr>
      <w:r>
        <w:rPr>
          <w:rFonts w:ascii="Times New Roman" w:hAnsi="Times New Roman"/>
          <w:sz w:val="20"/>
        </w:rPr>
        <w:t xml:space="preserve">The Company performed a test on the restricted net assets of its consolidated subsidiaries and VIEs in accordance with Securities and Exchange Commission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4-08</w:t>
      </w:r>
    </w:p>
    <w:p>
      <w:pPr>
        <w:pStyle w:val="TextBody"/>
        <w:bidi w:val="0"/>
        <w:spacing w:before="120" w:after="0"/>
        <w:jc w:val="left"/>
        <w:rPr>
          <w:rFonts w:ascii="Times New Roman" w:hAnsi="Times New Roman"/>
          <w:sz w:val="20"/>
        </w:rPr>
      </w:pPr>
      <w:r>
        <w:rPr>
          <w:rFonts w:ascii="Times New Roman" w:hAnsi="Times New Roman"/>
          <w:sz w:val="20"/>
        </w:rPr>
        <w:t xml:space="preserve">(e) (3), “General Notes to Financial Statements” and concluded that it was applicable for the Company to disclose the financial information for the Company only (parent company only). </w:t>
      </w:r>
    </w:p>
    <w:p>
      <w:pPr>
        <w:pStyle w:val="TextBody"/>
        <w:bidi w:val="0"/>
        <w:spacing w:before="120" w:after="0"/>
        <w:jc w:val="left"/>
        <w:rPr>
          <w:rFonts w:ascii="Times New Roman" w:hAnsi="Times New Roman"/>
          <w:sz w:val="20"/>
        </w:rPr>
      </w:pPr>
      <w:r>
        <w:rPr>
          <w:rFonts w:ascii="Times New Roman" w:hAnsi="Times New Roman"/>
          <w:sz w:val="20"/>
        </w:rPr>
        <w:t xml:space="preserve">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notes to consolidated financial statements of the Company.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As of December 31, 2024 and 2025, except for the investment commitment disclosed in Note 27(a), the Company did not have any significant capital and other commitments, or guarantees. </w:t>
      </w:r>
    </w:p>
    <w:p>
      <w:pPr>
        <w:pStyle w:val="TextBody"/>
        <w:bidi w:val="0"/>
        <w:spacing w:before="0" w:after="0"/>
        <w:ind w:left="0" w:right="0" w:hanging="0"/>
        <w:jc w:val="left"/>
        <w:rPr/>
      </w:pPr>
      <w:r>
        <w:rPr/>
        <w:t> </w:t>
      </w:r>
    </w:p>
    <w:tbl>
      <w:tblPr>
        <w:tblW w:w="5700" w:type="dxa"/>
        <w:jc w:val="left"/>
        <w:tblInd w:w="0" w:type="dxa"/>
        <w:tblLayout w:type="fixed"/>
        <w:tblCellMar>
          <w:top w:w="0" w:type="dxa"/>
          <w:left w:w="0" w:type="dxa"/>
          <w:bottom w:w="0" w:type="dxa"/>
          <w:right w:w="0" w:type="dxa"/>
        </w:tblCellMar>
      </w:tblPr>
      <w:tblGrid>
        <w:gridCol w:w="3005"/>
        <w:gridCol w:w="120"/>
        <w:gridCol w:w="60"/>
        <w:gridCol w:w="1100"/>
        <w:gridCol w:w="60"/>
        <w:gridCol w:w="120"/>
        <w:gridCol w:w="60"/>
        <w:gridCol w:w="110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b/>
                <w:spacing w:val="0"/>
                <w:sz w:val="20"/>
              </w:rPr>
            </w:pPr>
            <w:r>
              <w:rPr>
                <w:b/>
                <w:spacing w:val="0"/>
                <w:sz w:val="20"/>
              </w:rPr>
              <w:t>Condensed Balance Sheets</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1,651,285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1,167,864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11,938,371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9,898,566</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deposits, current portion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574,758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2,859</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13,605,158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11,644,047</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subsidiaries and VIEs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17,114,366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18,141,770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724,548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864,857</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17,838,914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19,006,627</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31,444,072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30,650,674</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29. Company Financial Statements (Parent Company Only) (continued)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3500"/>
        <w:gridCol w:w="120"/>
        <w:gridCol w:w="60"/>
        <w:gridCol w:w="1175"/>
        <w:gridCol w:w="155"/>
        <w:gridCol w:w="120"/>
        <w:gridCol w:w="60"/>
        <w:gridCol w:w="1175"/>
        <w:gridCol w:w="170"/>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0"/>
              <w:jc w:val="left"/>
              <w:rPr>
                <w:b/>
                <w:spacing w:val="0"/>
                <w:sz w:val="20"/>
              </w:rPr>
            </w:pPr>
            <w:r>
              <w:rPr>
                <w:b/>
                <w:spacing w:val="0"/>
                <w:sz w:val="20"/>
              </w:rPr>
              <w:t>Condensed Balance Sheets (continued)</w:t>
            </w:r>
          </w:p>
        </w:tc>
        <w:tc>
          <w:tcPr>
            <w:tcW w:w="120" w:type="dxa"/>
            <w:tcBorders/>
            <w:vAlign w:val="center"/>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1,075</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281,009</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282,084</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167,940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167,940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169,284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282,084</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Class A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Class B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70,671,685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71,236,011</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and other reserves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95,019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137,720</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(41,585,549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(42,767,710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2,093,508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1,762,443</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31,274,788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30,368,590</w:t>
            </w:r>
          </w:p>
        </w:tc>
        <w:tc>
          <w:tcPr>
            <w:tcW w:w="17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31,444,072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30,650,674</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29. Company Financial Statements (Parent Company Only)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00"/>
        <w:gridCol w:w="120"/>
        <w:gridCol w:w="60"/>
        <w:gridCol w:w="1175"/>
        <w:gridCol w:w="155"/>
        <w:gridCol w:w="120"/>
        <w:gridCol w:w="60"/>
        <w:gridCol w:w="1055"/>
        <w:gridCol w:w="155"/>
        <w:gridCol w:w="120"/>
        <w:gridCol w:w="60"/>
        <w:gridCol w:w="1055"/>
        <w:gridCol w:w="170"/>
      </w:tblGrid>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b/>
                <w:spacing w:val="0"/>
                <w:sz w:val="20"/>
              </w:rPr>
            </w:pPr>
            <w:r>
              <w:rPr>
                <w:b/>
                <w:spacing w:val="0"/>
                <w:sz w:val="20"/>
              </w:rPr>
              <w:t>Condensed Statements of Comprehensive Loss</w:t>
            </w:r>
          </w:p>
        </w:tc>
        <w:tc>
          <w:tcPr>
            <w:tcW w:w="120" w:type="dxa"/>
            <w:tcBorders/>
            <w:vAlign w:val="center"/>
          </w:tcPr>
          <w:p>
            <w:pPr>
              <w:pStyle w:val="TableContents"/>
              <w:bidi w:val="0"/>
              <w:spacing w:before="0" w:after="283"/>
              <w:jc w:val="left"/>
              <w:rPr/>
            </w:pPr>
            <w:r>
              <w:rPr/>
              <w:t>  </w:t>
            </w:r>
          </w:p>
        </w:tc>
        <w:tc>
          <w:tcPr>
            <w:tcW w:w="40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(28,511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(16,706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(15,401</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(28,511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(16,706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(15,401</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 (loss) on derivative liability relating to the contingent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29,339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234,245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(117,305</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Gain (Loss)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217,539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(132,706</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601,475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783,148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526,262</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in loss of subsidiaries and VIEs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(10,165,831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(6,376,372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(2,479,729</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17,718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88,592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21,169</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(loss) gain from foreign currency transactions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(473,467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(455,608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849,932</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(loss) gain on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44,684</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loss on derivative assets or derivative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(410,417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 expenses and share of results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(10,430,515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(5,761,190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(1,170,388</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results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54,740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(29,069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30,928</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(10,375,775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(5,790,264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(1,139,460</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 of XPeng Inc.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(10,375,775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(5,790,264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(1,139,460</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(10,375,775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(5,790,264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(1,139,460</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286,614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262,870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(331,065</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comprehensive loss attributable to XPeng Inc.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(10,089,161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(5,527,394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(1,470,525</w:t>
            </w:r>
          </w:p>
        </w:tc>
        <w:tc>
          <w:tcPr>
            <w:tcW w:w="17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ordinary shareholders of XPeng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(10,089,161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(5,527,394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(1,470,525</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29. Company Financial Statements (Parent Company Only)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20"/>
        <w:gridCol w:w="120"/>
        <w:gridCol w:w="60"/>
        <w:gridCol w:w="1055"/>
        <w:gridCol w:w="155"/>
        <w:gridCol w:w="120"/>
        <w:gridCol w:w="60"/>
        <w:gridCol w:w="1055"/>
        <w:gridCol w:w="155"/>
        <w:gridCol w:w="120"/>
        <w:gridCol w:w="60"/>
        <w:gridCol w:w="1055"/>
        <w:gridCol w:w="170"/>
      </w:tblGrid>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20" w:type="dxa"/>
            <w:tcBorders/>
            <w:vAlign w:val="center"/>
          </w:tcPr>
          <w:p>
            <w:pPr>
              <w:pStyle w:val="TableContents"/>
              <w:bidi w:val="0"/>
              <w:spacing w:before="0" w:after="0"/>
              <w:jc w:val="left"/>
              <w:rPr>
                <w:b/>
                <w:spacing w:val="0"/>
                <w:sz w:val="20"/>
              </w:rPr>
            </w:pPr>
            <w:r>
              <w:rPr>
                <w:b/>
                <w:spacing w:val="0"/>
                <w:sz w:val="20"/>
              </w:rPr>
              <w:t>Condensed Statements of Cash Flows</w:t>
            </w:r>
          </w:p>
        </w:tc>
        <w:tc>
          <w:tcPr>
            <w:tcW w:w="12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520,066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683,003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602,382</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Maturity (placement) of 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4,164,149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(1,961,056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1,140,950</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equity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(5,306,987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(2,257,875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(2,215,607</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(188,681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(103,434</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Disposal of long-term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28,571</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(1,331,519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(4,363,123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(1,149,520</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ordinary shares to Volkswagen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5,019,599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5,019,599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143,808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63,717</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4,235,941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(3,536,312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(483,421</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951,656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5,187,597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1,651,285</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5,187,597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1,651,285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1,167,864</w:t>
            </w:r>
          </w:p>
        </w:tc>
        <w:tc>
          <w:tcPr>
            <w:tcW w:w="17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230"/>
        <w:gridCol w:w="17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accounting policies are the same as the Group’s accounting policies with the exception of the accounting for the investments in subsidiaries and VIEs. </w:t>
      </w:r>
    </w:p>
    <w:p>
      <w:pPr>
        <w:pStyle w:val="TextBody"/>
        <w:bidi w:val="0"/>
        <w:spacing w:before="120" w:after="0"/>
        <w:jc w:val="left"/>
        <w:rPr>
          <w:rFonts w:ascii="Times New Roman" w:hAnsi="Times New Roman"/>
          <w:sz w:val="20"/>
        </w:rPr>
      </w:pPr>
      <w:r>
        <w:rPr>
          <w:rFonts w:ascii="Times New Roman" w:hAnsi="Times New Roman"/>
          <w:sz w:val="20"/>
        </w:rPr>
        <w:t xml:space="preserve">For the Company only condensed financial information, the Company records its investments in subsidiaries and VIEs under the equity method of accounting as prescribed in ASC 323, Investments—Equity Method and Joint Ventures. </w:t>
      </w:r>
    </w:p>
    <w:p>
      <w:pPr>
        <w:pStyle w:val="TextBody"/>
        <w:bidi w:val="0"/>
        <w:spacing w:before="120" w:after="0"/>
        <w:jc w:val="left"/>
        <w:rPr>
          <w:rFonts w:ascii="Times New Roman" w:hAnsi="Times New Roman"/>
          <w:sz w:val="20"/>
        </w:rPr>
      </w:pPr>
      <w:r>
        <w:rPr>
          <w:rFonts w:ascii="Times New Roman" w:hAnsi="Times New Roman"/>
          <w:sz w:val="20"/>
        </w:rPr>
        <w:t xml:space="preserve">Such investments are presented on the Condensed Balance Sheets as “Investments in subsidiaries and VIEs” and shares of the subsidiaries and VIEs’ loss are presented as “Equity in loss of subsidiaries and VIEs” on the Condensed Statements of Comprehensive Loss. The parent company only condensed financial information should be read in conjunction with the Group’s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(CONTINUED) </w:t>
      </w:r>
    </w:p>
    <w:p>
      <w:pPr>
        <w:pStyle w:val="TextBody"/>
        <w:bidi w:val="0"/>
        <w:spacing w:before="0" w:after="0"/>
        <w:jc w:val="left"/>
        <w:rPr>
          <w:rFonts w:ascii="Times New Roman" w:hAnsi="Times New Roman"/>
          <w:sz w:val="20"/>
        </w:rPr>
      </w:pPr>
      <w:r>
        <w:rPr>
          <w:rFonts w:ascii="Times New Roman" w:hAnsi="Times New Roman"/>
          <w:sz w:val="20"/>
        </w:rPr>
        <w:t xml:space="preserve">(All amounts in thousands, except for share and per share data, unless otherwise stated)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30.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Completion of the Asset-backed Securities Issuance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Group entered into another asset-backed securitization arrangement with issuance of the securities at the total amount of RMB1,300,000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securitized receivables arising from auto financing arrangements through the transfer of those assets to a third party securitization entity. It is a revolving arrangement where the Group provides management, administration and collection services (at market rates) on the transferred financial assets, but only retains an insignificant economic interest in the securitization entity. As a result, the Group will not consolidate the securitization entity (thereby derecognizing transferred receivables) under U.S. GAAP.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F-100 </w:t>
      </w:r>
    </w:p>
    <w:p>
      <w:pPr>
        <w:pStyle w:val="TextBody"/>
        <w:bidi w:val="0"/>
        <w:spacing w:before="0" w:after="0"/>
        <w:jc w:val="right"/>
        <w:rPr>
          <w:rFonts w:ascii="Times New Roman" w:hAnsi="Times New Roman"/>
          <w:b/>
          <w:sz w:val="20"/>
        </w:rPr>
      </w:pPr>
      <w:bookmarkStart w:id="36" w:name="d36361dex81.htm"/>
      <w:bookmarkStart w:id="37" w:name="ksd36361dex81"/>
      <w:bookmarkEnd w:id="36"/>
      <w:bookmarkEnd w:id="37"/>
      <w:r>
        <w:rPr>
          <w:rFonts w:ascii="Times New Roman" w:hAnsi="Times New Roman"/>
          <w:b/>
          <w:sz w:val="20"/>
        </w:rPr>
        <w:t xml:space="preserve">Exhibit 8.1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List of Significant Subsidiaries of the Registrant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5"/>
        <w:gridCol w:w="101"/>
        <w:gridCol w:w="1939"/>
      </w:tblGrid>
      <w:tr>
        <w:trPr/>
        <w:tc>
          <w:tcPr>
            <w:tcW w:w="81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8165" w:type="dxa"/>
            <w:tcBorders/>
            <w:vAlign w:val="bottom"/>
          </w:tcPr>
          <w:p>
            <w:pPr>
              <w:pStyle w:val="TableContents"/>
              <w:bidi w:val="0"/>
              <w:spacing w:before="0" w:after="283"/>
              <w:jc w:val="left"/>
              <w:rPr>
                <w:b/>
              </w:rPr>
            </w:pPr>
            <w:r>
              <w:rPr>
                <w:b/>
              </w:rPr>
              <w:t>Subsidiaries</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Jurisdiction of</w:t>
            </w:r>
          </w:p>
          <w:p>
            <w:pPr>
              <w:pStyle w:val="TableContents"/>
              <w:bidi w:val="0"/>
              <w:spacing w:before="0" w:after="20"/>
              <w:jc w:val="left"/>
              <w:rPr>
                <w:rFonts w:ascii="Times New Roman" w:hAnsi="Times New Roman"/>
                <w:b/>
                <w:sz w:val="16"/>
              </w:rPr>
            </w:pPr>
            <w:r>
              <w:rPr>
                <w:rFonts w:ascii="Times New Roman" w:hAnsi="Times New Roman"/>
                <w:b/>
                <w:sz w:val="16"/>
              </w:rPr>
              <w:t>Incorporation</w:t>
            </w:r>
          </w:p>
        </w:tc>
      </w:tr>
      <w:tr>
        <w:trPr/>
        <w:tc>
          <w:tcPr>
            <w:tcW w:w="8165" w:type="dxa"/>
            <w:tcBorders/>
          </w:tcPr>
          <w:p>
            <w:pPr>
              <w:pStyle w:val="TableContents"/>
              <w:bidi w:val="0"/>
              <w:spacing w:before="0" w:after="283"/>
              <w:jc w:val="left"/>
              <w:rPr/>
            </w:pPr>
            <w:r>
              <w:rPr/>
              <w:t>XPeng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283"/>
              <w:jc w:val="left"/>
              <w:rPr/>
            </w:pPr>
            <w:r>
              <w:rPr/>
              <w:t>XPeng (Hong Kong)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Hong Kong</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Zhaoqing Xiaopeng New Energy Investment Co., Ltd.*</w:t>
            </w:r>
          </w:p>
          <w:p>
            <w:pPr>
              <w:pStyle w:val="TableContents"/>
              <w:bidi w:val="0"/>
              <w:spacing w:before="0" w:after="20"/>
              <w:jc w:val="left"/>
              <w:rPr>
                <w:rFonts w:eastAsia="Times New Roman"/>
                <w:sz w:val="20"/>
              </w:rPr>
            </w:pPr>
            <w:r>
              <w:rPr>
                <w:rFonts w:eastAsia="pmingliu"/>
                <w:sz w:val="18"/>
              </w:rPr>
              <w:t>肇庆小鹏新能源投资有限公司</w:t>
            </w:r>
            <w:r>
              <w:rPr>
                <w:rFonts w:eastAsia="Times New Roman"/>
                <w:sz w:val="20"/>
              </w:rPr>
              <w:t xml:space="preserve">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Guangdong Xiaopeng Motors Technology Group Co., Ltd.*</w:t>
            </w:r>
          </w:p>
          <w:p>
            <w:pPr>
              <w:pStyle w:val="TableContents"/>
              <w:bidi w:val="0"/>
              <w:spacing w:before="0" w:after="20"/>
              <w:jc w:val="left"/>
              <w:rPr>
                <w:rFonts w:eastAsia="pmingliu"/>
                <w:sz w:val="18"/>
              </w:rPr>
            </w:pPr>
            <w:r>
              <w:rPr>
                <w:rFonts w:eastAsia="pmingliu"/>
                <w:sz w:val="18"/>
              </w:rPr>
              <w:t xml:space="preserve">广东小鹏汽车科技集团有限公司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Guangzhou Chengxingzhidong Motors Technology Co., Ltd.*</w:t>
            </w:r>
          </w:p>
          <w:p>
            <w:pPr>
              <w:pStyle w:val="TableContents"/>
              <w:bidi w:val="0"/>
              <w:spacing w:before="0" w:after="20"/>
              <w:jc w:val="left"/>
              <w:rPr>
                <w:rFonts w:eastAsia="pmingliu"/>
                <w:sz w:val="18"/>
              </w:rPr>
            </w:pPr>
            <w:r>
              <w:rPr>
                <w:rFonts w:eastAsia="pmingliu"/>
                <w:sz w:val="18"/>
              </w:rPr>
              <w:t xml:space="preserve">广州橙行智动汽车科技有限公司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Xiaopeng Motors Huazhong (Wuhan) Co., Ltd.*</w:t>
            </w:r>
          </w:p>
          <w:p>
            <w:pPr>
              <w:pStyle w:val="TableContents"/>
              <w:bidi w:val="0"/>
              <w:spacing w:before="0" w:after="20"/>
              <w:jc w:val="left"/>
              <w:rPr/>
            </w:pPr>
            <w:r>
              <w:rPr>
                <w:rFonts w:eastAsia="pmingliu"/>
                <w:sz w:val="18"/>
              </w:rPr>
              <w:t>小鹏汽车华中</w:t>
            </w:r>
            <w:r>
              <w:rPr>
                <w:rFonts w:ascii="Times New Roman" w:hAnsi="Times New Roman"/>
                <w:sz w:val="20"/>
              </w:rPr>
              <w:t>(</w:t>
            </w:r>
            <w:r>
              <w:rPr>
                <w:rFonts w:eastAsia="pmingliu"/>
                <w:sz w:val="18"/>
              </w:rPr>
              <w:t>武汉</w:t>
            </w:r>
            <w:r>
              <w:rPr>
                <w:rFonts w:ascii="Times New Roman" w:hAnsi="Times New Roman"/>
                <w:sz w:val="20"/>
              </w:rPr>
              <w:t>)</w:t>
            </w:r>
            <w:r>
              <w:rPr>
                <w:rFonts w:eastAsia="pmingliu"/>
                <w:sz w:val="18"/>
              </w:rPr>
              <w:t xml:space="preserve">有限公司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Zhaoqing Xiaopeng Motors Co., Ltd.*</w:t>
            </w:r>
          </w:p>
          <w:p>
            <w:pPr>
              <w:pStyle w:val="TableContents"/>
              <w:bidi w:val="0"/>
              <w:spacing w:before="0" w:after="20"/>
              <w:jc w:val="left"/>
              <w:rPr>
                <w:rFonts w:eastAsia="pmingliu"/>
                <w:sz w:val="18"/>
              </w:rPr>
            </w:pPr>
            <w:r>
              <w:rPr>
                <w:rFonts w:eastAsia="pmingliu"/>
                <w:sz w:val="18"/>
              </w:rPr>
              <w:t>肇庆小鹏汽车有限公司</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283"/>
              <w:jc w:val="left"/>
              <w:rPr/>
            </w:pPr>
            <w:r>
              <w:rPr/>
              <w:t>XPeng Charging (Hong Kong)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Hong Kong</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283"/>
              <w:jc w:val="left"/>
              <w:rPr/>
            </w:pPr>
            <w:r>
              <w:rPr/>
              <w:t>XPeng Power Battery (Hong Kong)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Hong Kong</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283"/>
              <w:jc w:val="left"/>
              <w:rPr/>
            </w:pPr>
            <w:r>
              <w:rPr/>
              <w:t>XPeng Charging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283"/>
              <w:jc w:val="left"/>
              <w:rPr/>
            </w:pPr>
            <w:r>
              <w:rPr/>
              <w:t>XPeng Power Battery (BVI) Limited</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Shenzhen Xiaopeng Motors Supply Chain Management Co., Ltd.*</w:t>
            </w:r>
          </w:p>
          <w:p>
            <w:pPr>
              <w:pStyle w:val="TableContents"/>
              <w:bidi w:val="0"/>
              <w:spacing w:before="0" w:after="20"/>
              <w:jc w:val="left"/>
              <w:rPr>
                <w:rFonts w:eastAsia="pmingliu"/>
                <w:sz w:val="18"/>
              </w:rPr>
            </w:pPr>
            <w:r>
              <w:rPr>
                <w:rFonts w:eastAsia="pmingliu"/>
                <w:sz w:val="18"/>
              </w:rPr>
              <w:t xml:space="preserve">深圳小鹏汽车供应链管理有限公司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Pengyue Power Battery Co., Ltd.*</w:t>
            </w:r>
          </w:p>
          <w:p>
            <w:pPr>
              <w:pStyle w:val="TableContents"/>
              <w:bidi w:val="0"/>
              <w:spacing w:before="0" w:after="20"/>
              <w:jc w:val="left"/>
              <w:rPr>
                <w:rFonts w:eastAsia="pmingliu"/>
                <w:sz w:val="18"/>
              </w:rPr>
            </w:pPr>
            <w:r>
              <w:rPr>
                <w:rFonts w:eastAsia="pmingliu"/>
                <w:sz w:val="18"/>
              </w:rPr>
              <w:t>广州鹏悦动力电池有限公司</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Smart Charge Technology Co., Ltd.*</w:t>
            </w:r>
          </w:p>
          <w:p>
            <w:pPr>
              <w:pStyle w:val="TableContents"/>
              <w:bidi w:val="0"/>
              <w:spacing w:before="0" w:after="20"/>
              <w:jc w:val="left"/>
              <w:rPr>
                <w:rFonts w:eastAsia="pmingliu"/>
                <w:sz w:val="18"/>
              </w:rPr>
            </w:pPr>
            <w:r>
              <w:rPr>
                <w:rFonts w:eastAsia="pmingliu"/>
                <w:sz w:val="18"/>
              </w:rPr>
              <w:t xml:space="preserve">广州小鹏智慧充电科技有限公司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Shanghai Jusheng Technology Co., Ltd.*</w:t>
            </w:r>
          </w:p>
          <w:p>
            <w:pPr>
              <w:pStyle w:val="TableContents"/>
              <w:bidi w:val="0"/>
              <w:spacing w:before="0" w:after="20"/>
              <w:jc w:val="left"/>
              <w:rPr>
                <w:rFonts w:eastAsia="pmingliu"/>
                <w:sz w:val="18"/>
              </w:rPr>
            </w:pPr>
            <w:r>
              <w:rPr>
                <w:rFonts w:eastAsia="pmingliu"/>
                <w:sz w:val="18"/>
              </w:rPr>
              <w:t>上海桔晟科技有限公司</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Wuhan Xiaopeng Smart Manufacturing Co., Ltd.*</w:t>
            </w:r>
          </w:p>
          <w:p>
            <w:pPr>
              <w:pStyle w:val="TableContents"/>
              <w:bidi w:val="0"/>
              <w:spacing w:before="0" w:after="20"/>
              <w:jc w:val="left"/>
              <w:rPr>
                <w:rFonts w:eastAsia="pmingliu"/>
                <w:sz w:val="18"/>
              </w:rPr>
            </w:pPr>
            <w:r>
              <w:rPr>
                <w:rFonts w:eastAsia="pmingliu"/>
                <w:sz w:val="18"/>
              </w:rPr>
              <w:t>武汉小鹏智能制造有限公司</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5"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New Energy Motors Co., Ltd.*</w:t>
            </w:r>
          </w:p>
          <w:p>
            <w:pPr>
              <w:pStyle w:val="TableContents"/>
              <w:bidi w:val="0"/>
              <w:spacing w:before="0" w:after="20"/>
              <w:jc w:val="left"/>
              <w:rPr>
                <w:rFonts w:eastAsia="Times New Roman"/>
                <w:sz w:val="20"/>
              </w:rPr>
            </w:pPr>
            <w:r>
              <w:rPr>
                <w:rFonts w:eastAsia="pmingliu"/>
                <w:sz w:val="18"/>
              </w:rPr>
              <w:t>广州小鹏新能源汽车有限公司</w:t>
            </w:r>
            <w:r>
              <w:rPr>
                <w:rFonts w:eastAsia="Times New Roman"/>
                <w:sz w:val="20"/>
              </w:rPr>
              <w:t xml:space="preserve"> </w:t>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164"/>
        <w:gridCol w:w="102"/>
        <w:gridCol w:w="1939"/>
      </w:tblGrid>
      <w:tr>
        <w:trPr/>
        <w:tc>
          <w:tcPr>
            <w:tcW w:w="81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Zhipeng Manufacturing Co., Ltd.*</w:t>
            </w:r>
          </w:p>
          <w:p>
            <w:pPr>
              <w:pStyle w:val="TableContents"/>
              <w:bidi w:val="0"/>
              <w:spacing w:before="0" w:after="20"/>
              <w:jc w:val="left"/>
              <w:rPr>
                <w:rFonts w:eastAsia="pmingliu"/>
                <w:sz w:val="18"/>
              </w:rPr>
            </w:pPr>
            <w:r>
              <w:rPr>
                <w:rFonts w:eastAsia="pmingliu"/>
                <w:sz w:val="18"/>
              </w:rPr>
              <w:t>广州智鹏制造有限公司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Motors Financing Lease Co., Ltd.*</w:t>
            </w:r>
          </w:p>
          <w:p>
            <w:pPr>
              <w:pStyle w:val="TableContents"/>
              <w:bidi w:val="0"/>
              <w:spacing w:before="0" w:after="20"/>
              <w:jc w:val="left"/>
              <w:rPr>
                <w:rFonts w:eastAsia="pmingliu"/>
                <w:sz w:val="18"/>
              </w:rPr>
            </w:pPr>
            <w:r>
              <w:rPr>
                <w:rFonts w:eastAsia="pmingliu"/>
                <w:sz w:val="18"/>
              </w:rPr>
              <w:t xml:space="preserve">广州小鹏汽车融资租赁有限公司 </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Pengyue Automobile Development Co., Ltd.*</w:t>
            </w:r>
          </w:p>
          <w:p>
            <w:pPr>
              <w:pStyle w:val="TableContents"/>
              <w:bidi w:val="0"/>
              <w:spacing w:before="0" w:after="20"/>
              <w:jc w:val="left"/>
              <w:rPr>
                <w:rFonts w:eastAsia="pmingliu"/>
                <w:sz w:val="18"/>
              </w:rPr>
            </w:pPr>
            <w:r>
              <w:rPr>
                <w:rFonts w:eastAsia="pmingliu"/>
                <w:sz w:val="18"/>
              </w:rPr>
              <w:t>广州鹏跃汽车发展有限公司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Xenith (Shanghai) Technology Co., Ltd.*</w:t>
            </w:r>
          </w:p>
          <w:p>
            <w:pPr>
              <w:pStyle w:val="TableContents"/>
              <w:bidi w:val="0"/>
              <w:spacing w:before="0" w:after="20"/>
              <w:jc w:val="left"/>
              <w:rPr/>
            </w:pPr>
            <w:r>
              <w:rPr>
                <w:rFonts w:eastAsia="pmingliu"/>
                <w:sz w:val="18"/>
              </w:rPr>
              <w:t>极睿智芯</w:t>
            </w:r>
            <w:r>
              <w:rPr>
                <w:rFonts w:ascii="Times New Roman" w:hAnsi="Times New Roman"/>
                <w:sz w:val="20"/>
              </w:rPr>
              <w:t>(</w:t>
            </w:r>
            <w:r>
              <w:rPr>
                <w:rFonts w:eastAsia="pmingliu"/>
                <w:sz w:val="18"/>
              </w:rPr>
              <w:t>上海</w:t>
            </w:r>
            <w:r>
              <w:rPr>
                <w:rFonts w:ascii="Times New Roman" w:hAnsi="Times New Roman"/>
                <w:sz w:val="20"/>
              </w:rPr>
              <w:t>)</w:t>
            </w:r>
            <w:r>
              <w:rPr>
                <w:rFonts w:eastAsia="pmingliu"/>
                <w:sz w:val="18"/>
              </w:rPr>
              <w:t xml:space="preserve">技术有限公司 </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Shenzhen Pengxing Smart Technology Innovation Co., Ltd.*</w:t>
            </w:r>
          </w:p>
          <w:p>
            <w:pPr>
              <w:pStyle w:val="TableContents"/>
              <w:bidi w:val="0"/>
              <w:spacing w:before="0" w:after="20"/>
              <w:jc w:val="left"/>
              <w:rPr>
                <w:rFonts w:eastAsia="pmingliu"/>
                <w:sz w:val="18"/>
              </w:rPr>
            </w:pPr>
            <w:r>
              <w:rPr>
                <w:rFonts w:eastAsia="pmingliu"/>
                <w:sz w:val="18"/>
              </w:rPr>
              <w:t>深圳鹏行智能科创有限公司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Beijing Xiaopeng Motors Co., Ltd.*</w:t>
            </w:r>
          </w:p>
          <w:p>
            <w:pPr>
              <w:pStyle w:val="TableContents"/>
              <w:bidi w:val="0"/>
              <w:spacing w:before="0" w:after="20"/>
              <w:jc w:val="left"/>
              <w:rPr>
                <w:rFonts w:eastAsia="pmingliu"/>
                <w:sz w:val="18"/>
              </w:rPr>
            </w:pPr>
            <w:r>
              <w:rPr>
                <w:rFonts w:eastAsia="pmingliu"/>
                <w:sz w:val="18"/>
              </w:rPr>
              <w:t>北京小鹏汽车有限公司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Xiaopeng Motors Sales Co., Ltd.*</w:t>
            </w:r>
          </w:p>
          <w:p>
            <w:pPr>
              <w:pStyle w:val="TableContents"/>
              <w:bidi w:val="0"/>
              <w:spacing w:before="0" w:after="20"/>
              <w:jc w:val="left"/>
              <w:rPr>
                <w:rFonts w:eastAsia="pmingliu"/>
                <w:sz w:val="18"/>
              </w:rPr>
            </w:pPr>
            <w:r>
              <w:rPr>
                <w:rFonts w:eastAsia="pmingliu"/>
                <w:sz w:val="18"/>
              </w:rPr>
              <w:t>小鹏汽车销售有限公司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XPeng International Holding (Hong Kong) Limited</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Hong Kong</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XPeng European Holding B.V.</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Netherlands</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Autopilot Technology Co., Ltd.*</w:t>
            </w:r>
          </w:p>
          <w:p>
            <w:pPr>
              <w:pStyle w:val="TableContents"/>
              <w:bidi w:val="0"/>
              <w:spacing w:before="0" w:after="20"/>
              <w:jc w:val="left"/>
              <w:rPr>
                <w:rFonts w:eastAsia="pmingliu"/>
                <w:sz w:val="18"/>
              </w:rPr>
            </w:pPr>
            <w:r>
              <w:rPr>
                <w:rFonts w:eastAsia="pmingliu"/>
                <w:sz w:val="18"/>
              </w:rPr>
              <w:t xml:space="preserve">广州小鹏自动驾驶科技有限公司 </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Beijing Jusheng Smart Motors Technology Co., Ltd.*</w:t>
            </w:r>
          </w:p>
          <w:p>
            <w:pPr>
              <w:pStyle w:val="TableContents"/>
              <w:bidi w:val="0"/>
              <w:spacing w:before="0" w:after="20"/>
              <w:jc w:val="left"/>
              <w:rPr>
                <w:rFonts w:eastAsia="pmingliu"/>
                <w:sz w:val="18"/>
              </w:rPr>
            </w:pPr>
            <w:r>
              <w:rPr>
                <w:rFonts w:eastAsia="pmingliu"/>
                <w:sz w:val="18"/>
              </w:rPr>
              <w:t xml:space="preserve">北京桔晟智能汽车科技有限公司 </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XPeng Dogotix Holdings Limited</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Dogotix Inc.</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Dogotix (Hong Kong) Limited</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Hong Kong</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Dogotix Limited</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283"/>
              <w:jc w:val="left"/>
              <w:rPr/>
            </w:pPr>
            <w:r>
              <w:rPr/>
              <w:t>XPeng Huitian Holding Limited</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BVI</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Motors Manufacturing Co., Ltd.*</w:t>
            </w:r>
          </w:p>
          <w:p>
            <w:pPr>
              <w:pStyle w:val="TableContents"/>
              <w:bidi w:val="0"/>
              <w:spacing w:before="0" w:after="20"/>
              <w:jc w:val="left"/>
              <w:rPr>
                <w:rFonts w:eastAsia="pmingliu"/>
                <w:sz w:val="18"/>
              </w:rPr>
            </w:pPr>
            <w:r>
              <w:rPr>
                <w:rFonts w:eastAsia="pmingliu"/>
                <w:sz w:val="18"/>
              </w:rPr>
              <w:t>广州小鹏汽车制造有限公司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Shanghai Xiaopeng Motors Technology Co., Ltd.*</w:t>
            </w:r>
          </w:p>
          <w:p>
            <w:pPr>
              <w:pStyle w:val="TableContents"/>
              <w:bidi w:val="0"/>
              <w:spacing w:before="0" w:after="20"/>
              <w:jc w:val="left"/>
              <w:rPr>
                <w:rFonts w:eastAsia="pmingliu"/>
                <w:sz w:val="18"/>
              </w:rPr>
            </w:pPr>
            <w:r>
              <w:rPr>
                <w:rFonts w:eastAsia="pmingliu"/>
                <w:sz w:val="18"/>
              </w:rPr>
              <w:t>上海小鹏汽车科技有限公司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Guangdong Xiaopeng Motors Industry Holding Co., Ltd.*</w:t>
            </w:r>
          </w:p>
          <w:p>
            <w:pPr>
              <w:pStyle w:val="TableContents"/>
              <w:bidi w:val="0"/>
              <w:spacing w:before="0" w:after="20"/>
              <w:jc w:val="left"/>
              <w:rPr>
                <w:rFonts w:eastAsia="pmingliu"/>
                <w:sz w:val="18"/>
              </w:rPr>
            </w:pPr>
            <w:r>
              <w:rPr>
                <w:rFonts w:eastAsia="pmingliu"/>
                <w:sz w:val="18"/>
              </w:rPr>
              <w:t xml:space="preserve">广东小鹏汽车产业控股有限公司 </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Guangdong Pengxing Smart Co., Ltd.*</w:t>
            </w:r>
          </w:p>
          <w:p>
            <w:pPr>
              <w:pStyle w:val="TableContents"/>
              <w:bidi w:val="0"/>
              <w:spacing w:before="0" w:after="20"/>
              <w:jc w:val="left"/>
              <w:rPr>
                <w:rFonts w:eastAsia="pmingliu"/>
                <w:sz w:val="18"/>
              </w:rPr>
            </w:pPr>
            <w:r>
              <w:rPr>
                <w:rFonts w:eastAsia="pmingliu"/>
                <w:sz w:val="18"/>
              </w:rPr>
              <w:t>广东鹏行智能有限公司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r>
        <w:trPr>
          <w:trHeight w:val="120" w:hRule="atLeast"/>
        </w:trPr>
        <w:tc>
          <w:tcPr>
            <w:tcW w:w="8164"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8164"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Pengzhi Motors Technology Co., Ltd.*</w:t>
            </w:r>
          </w:p>
          <w:p>
            <w:pPr>
              <w:pStyle w:val="TableContents"/>
              <w:bidi w:val="0"/>
              <w:spacing w:before="0" w:after="20"/>
              <w:jc w:val="left"/>
              <w:rPr>
                <w:rFonts w:eastAsia="pmingliu"/>
                <w:sz w:val="18"/>
              </w:rPr>
            </w:pPr>
            <w:r>
              <w:rPr>
                <w:rFonts w:eastAsia="pmingliu"/>
                <w:sz w:val="18"/>
              </w:rPr>
              <w:t>广州鹏智汽车科技有限公司</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PRC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212"/>
        <w:gridCol w:w="120"/>
        <w:gridCol w:w="1873"/>
      </w:tblGrid>
      <w:tr>
        <w:trPr/>
        <w:tc>
          <w:tcPr>
            <w:tcW w:w="82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Shenzhen Xiaopeng Motors Sales Service Co., Ltd.*</w:t>
            </w:r>
          </w:p>
          <w:p>
            <w:pPr>
              <w:pStyle w:val="TableContents"/>
              <w:bidi w:val="0"/>
              <w:spacing w:before="0" w:after="20"/>
              <w:jc w:val="left"/>
              <w:rPr>
                <w:rFonts w:eastAsia="pmingliu"/>
                <w:sz w:val="18"/>
              </w:rPr>
            </w:pPr>
            <w:r>
              <w:rPr>
                <w:rFonts w:eastAsia="pmingliu"/>
                <w:sz w:val="18"/>
              </w:rPr>
              <w:t xml:space="preserve">深圳小鹏汽车销售服务有限公司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Shanghai Xiaopeng Motors Sales Service Co., Ltd.*</w:t>
            </w:r>
          </w:p>
          <w:p>
            <w:pPr>
              <w:pStyle w:val="TableContents"/>
              <w:bidi w:val="0"/>
              <w:spacing w:before="0" w:after="20"/>
              <w:jc w:val="left"/>
              <w:rPr>
                <w:rFonts w:eastAsia="pmingliu"/>
                <w:sz w:val="18"/>
              </w:rPr>
            </w:pPr>
            <w:r>
              <w:rPr>
                <w:rFonts w:eastAsia="pmingliu"/>
                <w:sz w:val="18"/>
              </w:rPr>
              <w:t xml:space="preserve">上海小鹏汽车销售服务有限公司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Motors Technology Co., Ltd.*</w:t>
            </w:r>
          </w:p>
          <w:p>
            <w:pPr>
              <w:pStyle w:val="TableContents"/>
              <w:bidi w:val="0"/>
              <w:spacing w:before="0" w:after="20"/>
              <w:jc w:val="left"/>
              <w:rPr>
                <w:rFonts w:eastAsia="pmingliu"/>
                <w:sz w:val="18"/>
              </w:rPr>
            </w:pPr>
            <w:r>
              <w:rPr>
                <w:rFonts w:eastAsia="pmingliu"/>
                <w:sz w:val="18"/>
              </w:rPr>
              <w:t>广州小鹏汽车科技有限公司</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Pengran Motors Technology Co., Ltd.*</w:t>
            </w:r>
          </w:p>
          <w:p>
            <w:pPr>
              <w:pStyle w:val="TableContents"/>
              <w:bidi w:val="0"/>
              <w:spacing w:before="0" w:after="20"/>
              <w:jc w:val="left"/>
              <w:rPr>
                <w:rFonts w:eastAsia="pmingliu"/>
                <w:sz w:val="18"/>
              </w:rPr>
            </w:pPr>
            <w:r>
              <w:rPr>
                <w:rFonts w:eastAsia="pmingliu"/>
                <w:sz w:val="18"/>
              </w:rPr>
              <w:t>广州鹏冉汽车科技有限公司</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Pengxiao Technology Co., Ltd.*</w:t>
            </w:r>
          </w:p>
          <w:p>
            <w:pPr>
              <w:pStyle w:val="TableContents"/>
              <w:bidi w:val="0"/>
              <w:spacing w:before="0" w:after="20"/>
              <w:jc w:val="left"/>
              <w:rPr>
                <w:rFonts w:eastAsia="pmingliu"/>
                <w:sz w:val="18"/>
              </w:rPr>
            </w:pPr>
            <w:r>
              <w:rPr>
                <w:rFonts w:eastAsia="pmingliu"/>
                <w:sz w:val="18"/>
              </w:rPr>
              <w:t>广州鹏霄科技有限公司</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Xiaoju Smart Auto Co., Limited</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Cayman Islands</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Xiaoju Smart Auto (HK) Co., Limited</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Hong Kong</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Hangzhou Zhipeng Motors Sales Service Co., Ltd.*</w:t>
            </w:r>
          </w:p>
          <w:p>
            <w:pPr>
              <w:pStyle w:val="TableContents"/>
              <w:bidi w:val="0"/>
              <w:spacing w:before="0" w:after="20"/>
              <w:jc w:val="left"/>
              <w:rPr>
                <w:rFonts w:eastAsia="pmingliu"/>
                <w:sz w:val="18"/>
              </w:rPr>
            </w:pPr>
            <w:r>
              <w:rPr>
                <w:rFonts w:eastAsia="pmingliu"/>
                <w:sz w:val="18"/>
              </w:rPr>
              <w:t xml:space="preserve">杭州智鹏汽车销售服务有限公司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Motors Investment Consulting Partnership (Limited Partnership)*</w:t>
            </w:r>
          </w:p>
          <w:p>
            <w:pPr>
              <w:pStyle w:val="TableContents"/>
              <w:bidi w:val="0"/>
              <w:spacing w:before="0" w:after="20"/>
              <w:jc w:val="left"/>
              <w:rPr/>
            </w:pPr>
            <w:r>
              <w:rPr>
                <w:rFonts w:eastAsia="pmingliu"/>
                <w:sz w:val="18"/>
              </w:rPr>
              <w:t xml:space="preserve">广州小鹏汽车投资咨询合伙企业 </w:t>
            </w:r>
            <w:r>
              <w:rPr>
                <w:rFonts w:ascii="Times New Roman" w:hAnsi="Times New Roman"/>
                <w:sz w:val="20"/>
              </w:rPr>
              <w:t>(</w:t>
            </w:r>
            <w:r>
              <w:rPr>
                <w:rFonts w:eastAsia="pmingliu"/>
                <w:sz w:val="18"/>
              </w:rPr>
              <w:t>有限合伙</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Beijing Xiaopeng Motors Sales Service Co., Ltd.*</w:t>
            </w:r>
          </w:p>
          <w:p>
            <w:pPr>
              <w:pStyle w:val="TableContents"/>
              <w:bidi w:val="0"/>
              <w:spacing w:before="0" w:after="20"/>
              <w:jc w:val="left"/>
              <w:rPr>
                <w:rFonts w:eastAsia="pmingliu"/>
                <w:sz w:val="18"/>
              </w:rPr>
            </w:pPr>
            <w:r>
              <w:rPr>
                <w:rFonts w:eastAsia="pmingliu"/>
                <w:sz w:val="18"/>
              </w:rPr>
              <w:t xml:space="preserve">北京小鹏汽车销售服务有限公司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Smart Mobility Technology Co., Ltd.*</w:t>
            </w:r>
          </w:p>
          <w:p>
            <w:pPr>
              <w:pStyle w:val="TableContents"/>
              <w:bidi w:val="0"/>
              <w:spacing w:before="0" w:after="20"/>
              <w:jc w:val="left"/>
              <w:rPr>
                <w:rFonts w:eastAsia="pmingliu"/>
                <w:sz w:val="18"/>
              </w:rPr>
            </w:pPr>
            <w:r>
              <w:rPr>
                <w:rFonts w:eastAsia="pmingliu"/>
                <w:sz w:val="18"/>
              </w:rPr>
              <w:t xml:space="preserve">广州小鹏智慧出行科技有限公司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Wuhan Xiaopeng Motors Sales Service Co., Ltd.*</w:t>
            </w:r>
          </w:p>
          <w:p>
            <w:pPr>
              <w:pStyle w:val="TableContents"/>
              <w:bidi w:val="0"/>
              <w:spacing w:before="0" w:after="20"/>
              <w:jc w:val="left"/>
              <w:rPr>
                <w:rFonts w:eastAsia="pmingliu"/>
                <w:sz w:val="18"/>
              </w:rPr>
            </w:pPr>
            <w:r>
              <w:rPr>
                <w:rFonts w:eastAsia="pmingliu"/>
                <w:sz w:val="18"/>
              </w:rPr>
              <w:t>武汉小鹏汽车销售服务有限公司</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Beijing Hengxin Shiguang Motors Service Co., Ltd.*</w:t>
            </w:r>
          </w:p>
          <w:p>
            <w:pPr>
              <w:pStyle w:val="TableContents"/>
              <w:bidi w:val="0"/>
              <w:spacing w:before="0" w:after="20"/>
              <w:jc w:val="left"/>
              <w:rPr>
                <w:rFonts w:eastAsia="pmingliu"/>
                <w:sz w:val="18"/>
              </w:rPr>
            </w:pPr>
            <w:r>
              <w:rPr>
                <w:rFonts w:eastAsia="pmingliu"/>
                <w:sz w:val="18"/>
              </w:rPr>
              <w:t xml:space="preserve">北京恒信时光汽车服务有限公司 </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0"/>
              <w:jc w:val="left"/>
              <w:rPr>
                <w:rFonts w:ascii="Times New Roman" w:hAnsi="Times New Roman"/>
                <w:sz w:val="20"/>
              </w:rPr>
            </w:pPr>
            <w:r>
              <w:rPr>
                <w:rFonts w:ascii="Times New Roman" w:hAnsi="Times New Roman"/>
                <w:sz w:val="20"/>
              </w:rPr>
              <w:t>Xiaopeng Motors Services Co., Ltd.*</w:t>
            </w:r>
          </w:p>
          <w:p>
            <w:pPr>
              <w:pStyle w:val="TableContents"/>
              <w:bidi w:val="0"/>
              <w:spacing w:before="0" w:after="20"/>
              <w:jc w:val="left"/>
              <w:rPr>
                <w:rFonts w:eastAsia="pmingliu"/>
                <w:sz w:val="18"/>
              </w:rPr>
            </w:pPr>
            <w:r>
              <w:rPr>
                <w:rFonts w:eastAsia="pmingliu"/>
                <w:sz w:val="18"/>
              </w:rPr>
              <w:t>小鹏汽车服务有限公司</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PRC</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XMotors.USA, Inc.</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U.S.</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XSense America Inc.</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U.S.</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XPeng Motors Austria GmbH</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Austria</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XPeng Motors (Norway) AS</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Norway</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XPeng Motors Denmark ApS</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Denmark</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XPeng Motors (Sweden) AB</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Sweden</w:t>
            </w:r>
          </w:p>
        </w:tc>
      </w:tr>
      <w:tr>
        <w:trPr>
          <w:trHeight w:val="120" w:hRule="atLeast"/>
        </w:trPr>
        <w:tc>
          <w:tcPr>
            <w:tcW w:w="8212" w:type="dxa"/>
            <w:tcBorders/>
            <w:vAlign w:val="center"/>
          </w:tcPr>
          <w:p>
            <w:pPr>
              <w:pStyle w:val="TableContents"/>
              <w:bidi w:val="0"/>
              <w:spacing w:before="0" w:after="283"/>
              <w:jc w:val="left"/>
              <w:rPr>
                <w:sz w:val="4"/>
                <w:szCs w:val="4"/>
              </w:rPr>
            </w:pPr>
            <w:r>
              <w:rPr>
                <w:sz w:val="4"/>
                <w:szCs w:val="4"/>
              </w:rPr>
            </w:r>
          </w:p>
        </w:tc>
        <w:tc>
          <w:tcPr>
            <w:tcW w:w="1993" w:type="dxa"/>
            <w:gridSpan w:val="2"/>
            <w:tcBorders/>
            <w:vAlign w:val="center"/>
          </w:tcPr>
          <w:p>
            <w:pPr>
              <w:pStyle w:val="TableContents"/>
              <w:bidi w:val="0"/>
              <w:spacing w:before="0" w:after="283"/>
              <w:jc w:val="left"/>
              <w:rPr>
                <w:sz w:val="4"/>
                <w:szCs w:val="4"/>
              </w:rPr>
            </w:pPr>
            <w:r>
              <w:rPr>
                <w:sz w:val="4"/>
                <w:szCs w:val="4"/>
              </w:rPr>
            </w:r>
          </w:p>
        </w:tc>
      </w:tr>
      <w:tr>
        <w:trPr/>
        <w:tc>
          <w:tcPr>
            <w:tcW w:w="8212" w:type="dxa"/>
            <w:tcBorders/>
          </w:tcPr>
          <w:p>
            <w:pPr>
              <w:pStyle w:val="TableContents"/>
              <w:bidi w:val="0"/>
              <w:spacing w:before="0" w:after="283"/>
              <w:jc w:val="left"/>
              <w:rPr/>
            </w:pPr>
            <w:r>
              <w:rPr/>
              <w:t>XPeng Motors (Netherlands) B.V.</w:t>
            </w:r>
          </w:p>
        </w:tc>
        <w:tc>
          <w:tcPr>
            <w:tcW w:w="120"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Netherlands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177"/>
        <w:gridCol w:w="123"/>
        <w:gridCol w:w="1905"/>
      </w:tblGrid>
      <w:tr>
        <w:trPr/>
        <w:tc>
          <w:tcPr>
            <w:tcW w:w="81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Shanghai Chengpeng Motors Technology Co., Ltd.*</w:t>
            </w:r>
          </w:p>
          <w:p>
            <w:pPr>
              <w:pStyle w:val="TableContents"/>
              <w:bidi w:val="0"/>
              <w:spacing w:before="0" w:after="20"/>
              <w:jc w:val="left"/>
              <w:rPr>
                <w:rFonts w:eastAsia="pmingliu"/>
                <w:sz w:val="18"/>
              </w:rPr>
            </w:pPr>
            <w:r>
              <w:rPr>
                <w:rFonts w:eastAsia="pmingliu"/>
                <w:sz w:val="18"/>
              </w:rPr>
              <w:t>上海橙鹏汽车科技有限公司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Guangzhou Xiaopeng Motors Trading Co., Ltd.*</w:t>
            </w:r>
          </w:p>
          <w:p>
            <w:pPr>
              <w:pStyle w:val="TableContents"/>
              <w:bidi w:val="0"/>
              <w:spacing w:before="0" w:after="20"/>
              <w:jc w:val="left"/>
              <w:rPr>
                <w:rFonts w:eastAsia="pmingliu"/>
                <w:sz w:val="18"/>
              </w:rPr>
            </w:pPr>
            <w:r>
              <w:rPr>
                <w:rFonts w:eastAsia="pmingliu"/>
                <w:sz w:val="18"/>
              </w:rPr>
              <w:t>广州小鹏汽车贸易有限公司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Guangzhou Chengpeng Motors Sales Service Co., Ltd.*</w:t>
            </w:r>
          </w:p>
          <w:p>
            <w:pPr>
              <w:pStyle w:val="TableContents"/>
              <w:bidi w:val="0"/>
              <w:spacing w:before="0" w:after="20"/>
              <w:jc w:val="left"/>
              <w:rPr>
                <w:rFonts w:eastAsia="pmingliu"/>
                <w:sz w:val="18"/>
              </w:rPr>
            </w:pPr>
            <w:r>
              <w:rPr>
                <w:rFonts w:eastAsia="pmingliu"/>
                <w:sz w:val="18"/>
              </w:rPr>
              <w:t xml:space="preserve">广州橙鹏汽车销售服务有限公司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Dongguan Pengxing Motors Sales Service Co., Ltd.*</w:t>
            </w:r>
          </w:p>
          <w:p>
            <w:pPr>
              <w:pStyle w:val="TableContents"/>
              <w:bidi w:val="0"/>
              <w:spacing w:before="0" w:after="20"/>
              <w:jc w:val="left"/>
              <w:rPr>
                <w:rFonts w:eastAsia="pmingliu"/>
                <w:sz w:val="18"/>
              </w:rPr>
            </w:pPr>
            <w:r>
              <w:rPr>
                <w:rFonts w:eastAsia="pmingliu"/>
                <w:sz w:val="18"/>
              </w:rPr>
              <w:t xml:space="preserve">东莞鹏行汽车销售服务有限公司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Shenzhen Pengxing Smart Research Co., Ltd.*</w:t>
            </w:r>
          </w:p>
          <w:p>
            <w:pPr>
              <w:pStyle w:val="TableContents"/>
              <w:bidi w:val="0"/>
              <w:spacing w:before="0" w:after="20"/>
              <w:jc w:val="left"/>
              <w:rPr>
                <w:rFonts w:eastAsia="pmingliu"/>
                <w:sz w:val="18"/>
              </w:rPr>
            </w:pPr>
            <w:r>
              <w:rPr>
                <w:rFonts w:eastAsia="pmingliu"/>
                <w:sz w:val="18"/>
              </w:rPr>
              <w:t>深圳鹏行智能研究有限公司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Shenzhen Xiaopeng Motors Technology Co., Ltd.*</w:t>
            </w:r>
          </w:p>
          <w:p>
            <w:pPr>
              <w:pStyle w:val="TableContents"/>
              <w:bidi w:val="0"/>
              <w:spacing w:before="0" w:after="20"/>
              <w:jc w:val="left"/>
              <w:rPr>
                <w:rFonts w:eastAsia="pmingliu"/>
                <w:sz w:val="18"/>
              </w:rPr>
            </w:pPr>
            <w:r>
              <w:rPr>
                <w:rFonts w:eastAsia="pmingliu"/>
                <w:sz w:val="18"/>
              </w:rPr>
              <w:t>深圳小鹏汽车科技有限公司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Xiamen Pengxing Motors Sales Service Co., Ltd.*</w:t>
            </w:r>
          </w:p>
          <w:p>
            <w:pPr>
              <w:pStyle w:val="TableContents"/>
              <w:bidi w:val="0"/>
              <w:spacing w:before="0" w:after="20"/>
              <w:jc w:val="left"/>
              <w:rPr>
                <w:rFonts w:eastAsia="pmingliu"/>
                <w:sz w:val="18"/>
              </w:rPr>
            </w:pPr>
            <w:r>
              <w:rPr>
                <w:rFonts w:eastAsia="pmingliu"/>
                <w:sz w:val="18"/>
              </w:rPr>
              <w:t xml:space="preserve">厦门鹏行汽车销售服务有限公司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Wuhan Xiaopeng Motors Trading Co., Ltd.*</w:t>
            </w:r>
          </w:p>
          <w:p>
            <w:pPr>
              <w:pStyle w:val="TableContents"/>
              <w:bidi w:val="0"/>
              <w:spacing w:before="0" w:after="20"/>
              <w:jc w:val="left"/>
              <w:rPr>
                <w:rFonts w:eastAsia="pmingliu"/>
                <w:sz w:val="18"/>
              </w:rPr>
            </w:pPr>
            <w:r>
              <w:rPr>
                <w:rFonts w:eastAsia="pmingliu"/>
                <w:sz w:val="18"/>
              </w:rPr>
              <w:t>武汉小鹏汽车贸易有限公司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Chongqing Xiaopeng Motors Sales Service Co., Ltd.*</w:t>
            </w:r>
          </w:p>
          <w:p>
            <w:pPr>
              <w:pStyle w:val="TableContents"/>
              <w:bidi w:val="0"/>
              <w:spacing w:before="0" w:after="20"/>
              <w:jc w:val="left"/>
              <w:rPr>
                <w:rFonts w:eastAsia="pmingliu"/>
                <w:sz w:val="18"/>
              </w:rPr>
            </w:pPr>
            <w:r>
              <w:rPr>
                <w:rFonts w:eastAsia="pmingliu"/>
                <w:sz w:val="18"/>
              </w:rPr>
              <w:t xml:space="preserve">重庆小鹏汽车销售服务有限公司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Chongqing Pengyue Motors Sales Service Co., Ltd.*</w:t>
            </w:r>
          </w:p>
          <w:p>
            <w:pPr>
              <w:pStyle w:val="TableContents"/>
              <w:bidi w:val="0"/>
              <w:spacing w:before="0" w:after="20"/>
              <w:jc w:val="left"/>
              <w:rPr>
                <w:rFonts w:eastAsia="pmingliu"/>
                <w:sz w:val="18"/>
              </w:rPr>
            </w:pPr>
            <w:r>
              <w:rPr>
                <w:rFonts w:eastAsia="pmingliu"/>
                <w:sz w:val="18"/>
              </w:rPr>
              <w:t xml:space="preserve">重庆鹏悦汽车销售服务有限公司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Xiaopeng New Energy Motors Sales (Zhaoqing) Co., Ltd.*</w:t>
            </w:r>
          </w:p>
          <w:p>
            <w:pPr>
              <w:pStyle w:val="TableContents"/>
              <w:bidi w:val="0"/>
              <w:spacing w:before="0" w:after="20"/>
              <w:jc w:val="left"/>
              <w:rPr/>
            </w:pPr>
            <w:r>
              <w:rPr>
                <w:rFonts w:eastAsia="pmingliu"/>
                <w:sz w:val="18"/>
              </w:rPr>
              <w:t>小鹏新能源汽车销售</w:t>
            </w:r>
            <w:r>
              <w:rPr>
                <w:rFonts w:ascii="Times New Roman" w:hAnsi="Times New Roman"/>
                <w:sz w:val="20"/>
              </w:rPr>
              <w:t>(</w:t>
            </w:r>
            <w:r>
              <w:rPr>
                <w:rFonts w:eastAsia="pmingliu"/>
                <w:sz w:val="18"/>
              </w:rPr>
              <w:t>肇庆</w:t>
            </w:r>
            <w:r>
              <w:rPr>
                <w:rFonts w:ascii="Times New Roman" w:hAnsi="Times New Roman"/>
                <w:sz w:val="20"/>
              </w:rPr>
              <w:t>)</w:t>
            </w:r>
            <w:r>
              <w:rPr>
                <w:rFonts w:eastAsia="pmingliu"/>
                <w:sz w:val="18"/>
              </w:rPr>
              <w:t>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Pengxu Autopilot Technology Co., Ltd.*</w:t>
            </w:r>
          </w:p>
          <w:p>
            <w:pPr>
              <w:pStyle w:val="TableContents"/>
              <w:bidi w:val="0"/>
              <w:spacing w:before="0" w:after="20"/>
              <w:jc w:val="left"/>
              <w:rPr>
                <w:rFonts w:eastAsia="pmingliu"/>
                <w:sz w:val="18"/>
              </w:rPr>
            </w:pPr>
            <w:r>
              <w:rPr>
                <w:rFonts w:eastAsia="pmingliu"/>
                <w:sz w:val="18"/>
              </w:rPr>
              <w:t xml:space="preserve">广州鹏煦自动驾驶科技有限公司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283"/>
              <w:jc w:val="left"/>
              <w:rPr/>
            </w:pPr>
            <w:r>
              <w:rPr/>
              <w:t>XMotors Limited</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Hong Kong</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Pengyi Motors Technology Co., Ltd.*</w:t>
            </w:r>
          </w:p>
          <w:p>
            <w:pPr>
              <w:pStyle w:val="TableContents"/>
              <w:bidi w:val="0"/>
              <w:spacing w:before="0" w:after="20"/>
              <w:jc w:val="left"/>
              <w:rPr>
                <w:rFonts w:eastAsia="pmingliu"/>
                <w:sz w:val="18"/>
              </w:rPr>
            </w:pPr>
            <w:r>
              <w:rPr>
                <w:rFonts w:eastAsia="pmingliu"/>
                <w:sz w:val="18"/>
              </w:rPr>
              <w:t>广州鹏毅汽车科技有限公司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Shanghai Pengxu Motors Sales Service Co., Ltd.*</w:t>
            </w:r>
          </w:p>
          <w:p>
            <w:pPr>
              <w:pStyle w:val="TableContents"/>
              <w:bidi w:val="0"/>
              <w:spacing w:before="0" w:after="20"/>
              <w:jc w:val="left"/>
              <w:rPr>
                <w:rFonts w:eastAsia="pmingliu"/>
                <w:sz w:val="18"/>
              </w:rPr>
            </w:pPr>
            <w:r>
              <w:rPr>
                <w:rFonts w:eastAsia="pmingliu"/>
                <w:sz w:val="18"/>
              </w:rPr>
              <w:t xml:space="preserve">上海鹏煦汽车销售服务有限公司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Xiaopeng New Energy Motors Sales (Guangzhou) Co., Ltd.*</w:t>
            </w:r>
          </w:p>
          <w:p>
            <w:pPr>
              <w:pStyle w:val="TableContents"/>
              <w:bidi w:val="0"/>
              <w:spacing w:before="0" w:after="20"/>
              <w:jc w:val="left"/>
              <w:rPr/>
            </w:pPr>
            <w:r>
              <w:rPr>
                <w:rFonts w:eastAsia="pmingliu"/>
                <w:sz w:val="18"/>
              </w:rPr>
              <w:t>小鹏新能源汽车销售</w:t>
            </w:r>
            <w:r>
              <w:rPr>
                <w:rFonts w:ascii="Times New Roman" w:hAnsi="Times New Roman"/>
                <w:sz w:val="20"/>
              </w:rPr>
              <w:t>(</w:t>
            </w:r>
            <w:r>
              <w:rPr>
                <w:rFonts w:eastAsia="pmingliu"/>
                <w:sz w:val="18"/>
              </w:rPr>
              <w:t>广州</w:t>
            </w:r>
            <w:r>
              <w:rPr>
                <w:rFonts w:ascii="Times New Roman" w:hAnsi="Times New Roman"/>
                <w:sz w:val="20"/>
              </w:rPr>
              <w:t>)</w:t>
            </w:r>
            <w:r>
              <w:rPr>
                <w:rFonts w:eastAsia="pmingliu"/>
                <w:sz w:val="18"/>
              </w:rPr>
              <w:t>有限公司</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Xiaopeng Motors Sales (Wuhan) Co., Ltd.*</w:t>
            </w:r>
          </w:p>
          <w:p>
            <w:pPr>
              <w:pStyle w:val="TableContents"/>
              <w:bidi w:val="0"/>
              <w:spacing w:before="0" w:after="20"/>
              <w:jc w:val="left"/>
              <w:rPr/>
            </w:pPr>
            <w:r>
              <w:rPr>
                <w:rFonts w:eastAsia="pmingliu"/>
                <w:sz w:val="18"/>
              </w:rPr>
              <w:t>小鹏汽车销售</w:t>
            </w:r>
            <w:r>
              <w:rPr>
                <w:rFonts w:ascii="Times New Roman" w:hAnsi="Times New Roman"/>
                <w:sz w:val="20"/>
              </w:rPr>
              <w:t>(</w:t>
            </w:r>
            <w:r>
              <w:rPr>
                <w:rFonts w:eastAsia="pmingliu"/>
                <w:sz w:val="18"/>
              </w:rPr>
              <w:t>武汉</w:t>
            </w:r>
            <w:r>
              <w:rPr>
                <w:rFonts w:ascii="Times New Roman" w:hAnsi="Times New Roman"/>
                <w:sz w:val="20"/>
              </w:rPr>
              <w:t>)</w:t>
            </w:r>
            <w:r>
              <w:rPr>
                <w:rFonts w:eastAsia="pmingliu"/>
                <w:sz w:val="18"/>
              </w:rPr>
              <w:t xml:space="preserve">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r>
        <w:trPr>
          <w:trHeight w:val="120" w:hRule="atLeast"/>
        </w:trPr>
        <w:tc>
          <w:tcPr>
            <w:tcW w:w="8177" w:type="dxa"/>
            <w:tcBorders/>
            <w:vAlign w:val="center"/>
          </w:tcPr>
          <w:p>
            <w:pPr>
              <w:pStyle w:val="TableContents"/>
              <w:bidi w:val="0"/>
              <w:spacing w:before="0" w:after="283"/>
              <w:jc w:val="left"/>
              <w:rPr>
                <w:sz w:val="4"/>
                <w:szCs w:val="4"/>
              </w:rPr>
            </w:pPr>
            <w:r>
              <w:rPr>
                <w:sz w:val="4"/>
                <w:szCs w:val="4"/>
              </w:rPr>
            </w:r>
          </w:p>
        </w:tc>
        <w:tc>
          <w:tcPr>
            <w:tcW w:w="2028" w:type="dxa"/>
            <w:gridSpan w:val="2"/>
            <w:tcBorders/>
            <w:vAlign w:val="center"/>
          </w:tcPr>
          <w:p>
            <w:pPr>
              <w:pStyle w:val="TableContents"/>
              <w:bidi w:val="0"/>
              <w:spacing w:before="0" w:after="283"/>
              <w:jc w:val="left"/>
              <w:rPr>
                <w:sz w:val="4"/>
                <w:szCs w:val="4"/>
              </w:rPr>
            </w:pPr>
            <w:r>
              <w:rPr>
                <w:sz w:val="4"/>
                <w:szCs w:val="4"/>
              </w:rPr>
            </w:r>
          </w:p>
        </w:tc>
      </w:tr>
      <w:tr>
        <w:trPr/>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Foshan Xiaopeng Motors Sales Service Co., Ltd.*</w:t>
            </w:r>
          </w:p>
          <w:p>
            <w:pPr>
              <w:pStyle w:val="TableContents"/>
              <w:bidi w:val="0"/>
              <w:spacing w:before="0" w:after="20"/>
              <w:jc w:val="left"/>
              <w:rPr>
                <w:rFonts w:eastAsia="pmingliu"/>
                <w:sz w:val="18"/>
              </w:rPr>
            </w:pPr>
            <w:r>
              <w:rPr>
                <w:rFonts w:eastAsia="pmingliu"/>
                <w:sz w:val="18"/>
              </w:rPr>
              <w:t xml:space="preserve">佛山小鹏汽车销售服务有限公司 </w:t>
            </w:r>
          </w:p>
        </w:tc>
        <w:tc>
          <w:tcPr>
            <w:tcW w:w="123"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pPr>
            <w:r>
              <w:rPr/>
              <w:t>PRC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303"/>
        <w:gridCol w:w="123"/>
        <w:gridCol w:w="1779"/>
      </w:tblGrid>
      <w:tr>
        <w:trPr/>
        <w:tc>
          <w:tcPr>
            <w:tcW w:w="83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Beijing Chengpeng Motors Technology Co., Ltd.*</w:t>
            </w:r>
          </w:p>
          <w:p>
            <w:pPr>
              <w:pStyle w:val="TableContents"/>
              <w:bidi w:val="0"/>
              <w:spacing w:before="0" w:after="20"/>
              <w:jc w:val="left"/>
              <w:rPr>
                <w:rFonts w:eastAsia="pmingliu"/>
                <w:sz w:val="18"/>
              </w:rPr>
            </w:pPr>
            <w:r>
              <w:rPr>
                <w:rFonts w:eastAsia="pmingliu"/>
                <w:sz w:val="18"/>
              </w:rPr>
              <w:t>北京橙鹏汽车科技有限公司</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Beijing Chengpeng Motors Sales Service Co., Ltd.*</w:t>
            </w:r>
          </w:p>
          <w:p>
            <w:pPr>
              <w:pStyle w:val="TableContents"/>
              <w:bidi w:val="0"/>
              <w:spacing w:before="0" w:after="20"/>
              <w:jc w:val="left"/>
              <w:rPr>
                <w:rFonts w:eastAsia="pmingliu"/>
                <w:sz w:val="18"/>
              </w:rPr>
            </w:pPr>
            <w:r>
              <w:rPr>
                <w:rFonts w:eastAsia="pmingliu"/>
                <w:sz w:val="18"/>
              </w:rPr>
              <w:t xml:space="preserve">北京橙鹏汽车销售服务有限公司 </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Shenzhen Chengpeng Motors Technology Co., Ltd.*</w:t>
            </w:r>
          </w:p>
          <w:p>
            <w:pPr>
              <w:pStyle w:val="TableContents"/>
              <w:bidi w:val="0"/>
              <w:spacing w:before="0" w:after="20"/>
              <w:jc w:val="left"/>
              <w:rPr>
                <w:rFonts w:eastAsia="pmingliu"/>
                <w:sz w:val="18"/>
              </w:rPr>
            </w:pPr>
            <w:r>
              <w:rPr>
                <w:rFonts w:eastAsia="pmingliu"/>
                <w:sz w:val="18"/>
              </w:rPr>
              <w:t>深圳橙鹏汽车科技有限公司</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Guangzhou Kunpeng Innovation Investment Partnership (Limited Partnership)*</w:t>
            </w:r>
          </w:p>
          <w:p>
            <w:pPr>
              <w:pStyle w:val="TableContents"/>
              <w:bidi w:val="0"/>
              <w:spacing w:before="0" w:after="20"/>
              <w:jc w:val="left"/>
              <w:rPr/>
            </w:pPr>
            <w:r>
              <w:rPr>
                <w:rFonts w:eastAsia="pmingliu"/>
                <w:sz w:val="18"/>
              </w:rPr>
              <w:t>广州鲲鹏创新投资合伙企业</w:t>
            </w:r>
            <w:r>
              <w:rPr>
                <w:rFonts w:ascii="Times New Roman" w:hAnsi="Times New Roman"/>
                <w:sz w:val="20"/>
              </w:rPr>
              <w:t>(</w:t>
            </w:r>
            <w:r>
              <w:rPr>
                <w:rFonts w:eastAsia="pmingliu"/>
                <w:sz w:val="18"/>
              </w:rPr>
              <w:t>有限合伙</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Penghui Motors Technology Co., Ltd.*</w:t>
            </w:r>
          </w:p>
          <w:p>
            <w:pPr>
              <w:pStyle w:val="TableContents"/>
              <w:bidi w:val="0"/>
              <w:spacing w:before="0" w:after="20"/>
              <w:jc w:val="left"/>
              <w:rPr>
                <w:rFonts w:eastAsia="pmingliu"/>
                <w:sz w:val="18"/>
              </w:rPr>
            </w:pPr>
            <w:r>
              <w:rPr>
                <w:rFonts w:eastAsia="pmingliu"/>
                <w:sz w:val="18"/>
              </w:rPr>
              <w:t>广州鹏慧汽车科技有限公司</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Guangzhou Pengbo Motors Technology Co., Ltd.*</w:t>
            </w:r>
          </w:p>
          <w:p>
            <w:pPr>
              <w:pStyle w:val="TableContents"/>
              <w:bidi w:val="0"/>
              <w:spacing w:before="0" w:after="20"/>
              <w:jc w:val="left"/>
              <w:rPr>
                <w:rFonts w:eastAsia="pmingliu"/>
                <w:sz w:val="18"/>
              </w:rPr>
            </w:pPr>
            <w:r>
              <w:rPr>
                <w:rFonts w:eastAsia="pmingliu"/>
                <w:sz w:val="18"/>
              </w:rPr>
              <w:t>广州鹏博汽车科技有限公司</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24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283"/>
              <w:jc w:val="left"/>
              <w:rPr>
                <w:b/>
              </w:rPr>
            </w:pPr>
            <w:r>
              <w:rPr>
                <w:b/>
              </w:rPr>
              <w:t>Variable Interest Entity (“VIE”)</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sz w:val="4"/>
                <w:szCs w:val="4"/>
              </w:rPr>
            </w:pPr>
            <w:r>
              <w:rPr>
                <w:sz w:val="4"/>
                <w:szCs w:val="4"/>
              </w:rPr>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Guangzhou Zhipeng Internet of Vehicle Technology Co., Ltd.*</w:t>
            </w:r>
          </w:p>
          <w:p>
            <w:pPr>
              <w:pStyle w:val="TableContents"/>
              <w:bidi w:val="0"/>
              <w:spacing w:before="0" w:after="20"/>
              <w:jc w:val="left"/>
              <w:rPr>
                <w:rFonts w:eastAsia="Times New Roman"/>
                <w:sz w:val="20"/>
              </w:rPr>
            </w:pPr>
            <w:r>
              <w:rPr>
                <w:rFonts w:eastAsia="pmingliu"/>
                <w:sz w:val="18"/>
              </w:rPr>
              <w:t>广州智鹏车联网科技有限公司</w:t>
            </w:r>
            <w:r>
              <w:rPr>
                <w:rFonts w:eastAsia="Times New Roman"/>
                <w:sz w:val="20"/>
              </w:rPr>
              <w:t xml:space="preserve"> </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r>
        <w:trPr>
          <w:trHeight w:val="120" w:hRule="atLeast"/>
        </w:trPr>
        <w:tc>
          <w:tcPr>
            <w:tcW w:w="8303" w:type="dxa"/>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8303" w:type="dxa"/>
            <w:tcBorders/>
          </w:tcPr>
          <w:p>
            <w:pPr>
              <w:pStyle w:val="TableContents"/>
              <w:bidi w:val="0"/>
              <w:spacing w:before="0" w:after="0"/>
              <w:jc w:val="left"/>
              <w:rPr>
                <w:rFonts w:ascii="Times New Roman" w:hAnsi="Times New Roman"/>
                <w:sz w:val="20"/>
              </w:rPr>
            </w:pPr>
            <w:r>
              <w:rPr>
                <w:rFonts w:ascii="Times New Roman" w:hAnsi="Times New Roman"/>
                <w:sz w:val="20"/>
              </w:rPr>
              <w:t>Guangdong Intelligent Insurance Agent Co., Ltd.*</w:t>
            </w:r>
          </w:p>
          <w:p>
            <w:pPr>
              <w:pStyle w:val="TableContents"/>
              <w:bidi w:val="0"/>
              <w:spacing w:before="0" w:after="0"/>
              <w:jc w:val="left"/>
              <w:rPr>
                <w:rFonts w:eastAsia="pmingliu"/>
                <w:sz w:val="18"/>
              </w:rPr>
            </w:pPr>
            <w:r>
              <w:rPr>
                <w:rFonts w:eastAsia="pmingliu"/>
                <w:sz w:val="18"/>
              </w:rPr>
              <w:t>广东智选保险代理有限公司</w:t>
            </w:r>
          </w:p>
          <w:p>
            <w:pPr>
              <w:pStyle w:val="TableContents"/>
              <w:bidi w:val="0"/>
              <w:spacing w:before="0" w:after="0"/>
              <w:jc w:val="left"/>
              <w:rPr/>
            </w:pPr>
            <w:r>
              <w:rPr/>
              <w:t> </w:t>
            </w:r>
          </w:p>
          <w:p>
            <w:pPr>
              <w:pStyle w:val="TableContents"/>
              <w:bidi w:val="0"/>
              <w:spacing w:before="0" w:after="20"/>
              <w:jc w:val="left"/>
              <w:rPr/>
            </w:pPr>
            <w:r>
              <w:rPr>
                <w:rFonts w:ascii="Times New Roman" w:hAnsi="Times New Roman"/>
                <w:sz w:val="20"/>
              </w:rPr>
              <w:t>(formerly known as Qingdao Miaobao Insurance Agency Co., Ltd. (</w:t>
            </w:r>
            <w:r>
              <w:rPr>
                <w:rFonts w:eastAsia="pmingliu"/>
                <w:sz w:val="18"/>
              </w:rPr>
              <w:t>青岛妙保保险代理有限公司</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1779" w:type="dxa"/>
            <w:tcBorders/>
          </w:tcPr>
          <w:p>
            <w:pPr>
              <w:pStyle w:val="TableContents"/>
              <w:bidi w:val="0"/>
              <w:spacing w:before="0" w:after="283"/>
              <w:jc w:val="left"/>
              <w:rPr/>
            </w:pPr>
            <w:r>
              <w:rPr/>
              <w:t>PRC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English name of this subsidiary or VIE, as applicable, has been translated from its Chinese name. </w:t>
            </w:r>
          </w:p>
        </w:tc>
      </w:tr>
    </w:tbl>
    <w:p>
      <w:pPr>
        <w:pStyle w:val="TextBody"/>
        <w:bidi w:val="0"/>
        <w:spacing w:before="0" w:after="0"/>
        <w:jc w:val="right"/>
        <w:rPr>
          <w:rFonts w:ascii="Times New Roman" w:hAnsi="Times New Roman"/>
          <w:b/>
          <w:sz w:val="20"/>
        </w:rPr>
      </w:pPr>
      <w:bookmarkStart w:id="38" w:name="d36361dex121.htm"/>
      <w:bookmarkStart w:id="39" w:name="ksd36361dex121"/>
      <w:bookmarkEnd w:id="38"/>
      <w:bookmarkEnd w:id="39"/>
      <w:r>
        <w:rPr>
          <w:rFonts w:ascii="Times New Roman" w:hAnsi="Times New Roman"/>
          <w:b/>
          <w:sz w:val="20"/>
        </w:rPr>
        <w:t xml:space="preserve">Exhibit 12.1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Xiaopeng He,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XPeng Inc.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2"/>
        <w:gridCol w:w="60"/>
        <w:gridCol w:w="3360"/>
      </w:tblGrid>
      <w:tr>
        <w:trPr/>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April 16, 2026</w:t>
            </w:r>
          </w:p>
        </w:tc>
      </w:tr>
      <w:tr>
        <w:trPr>
          <w:trHeight w:val="240" w:hRule="atLeast"/>
        </w:trPr>
        <w:tc>
          <w:tcPr>
            <w:tcW w:w="662" w:type="dxa"/>
            <w:tcBorders/>
            <w:vAlign w:val="center"/>
          </w:tcPr>
          <w:p>
            <w:pPr>
              <w:pStyle w:val="TableContents"/>
              <w:bidi w:val="0"/>
              <w:spacing w:before="0" w:after="283"/>
              <w:jc w:val="left"/>
              <w:rPr>
                <w:sz w:val="4"/>
                <w:szCs w:val="4"/>
              </w:rPr>
            </w:pPr>
            <w:r>
              <w:rPr>
                <w:sz w:val="4"/>
                <w:szCs w:val="4"/>
              </w:rPr>
            </w:r>
          </w:p>
        </w:tc>
        <w:tc>
          <w:tcPr>
            <w:tcW w:w="3420" w:type="dxa"/>
            <w:gridSpan w:val="2"/>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Xiaopeng He</w:t>
            </w:r>
          </w:p>
        </w:tc>
      </w:tr>
      <w:tr>
        <w:trPr/>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0" w:name="d36361dex122.htm"/>
      <w:bookmarkStart w:id="41" w:name="ksd36361dex122"/>
      <w:bookmarkEnd w:id="40"/>
      <w:bookmarkEnd w:id="41"/>
      <w:r>
        <w:rPr>
          <w:rFonts w:ascii="Times New Roman" w:hAnsi="Times New Roman"/>
          <w:b/>
          <w:sz w:val="20"/>
        </w:rPr>
        <w:t xml:space="preserve">Exhibit 12.2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Jiaming (James) Wu,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XPeng Inc.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590"/>
        <w:gridCol w:w="60"/>
        <w:gridCol w:w="351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tcPr>
          <w:p>
            <w:pPr>
              <w:pStyle w:val="TableContents"/>
              <w:bidi w:val="0"/>
              <w:spacing w:before="0" w:after="283"/>
              <w:jc w:val="left"/>
              <w:rPr/>
            </w:pPr>
            <w:r>
              <w:rPr/>
              <w:t>Date: April 16, 2026</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575"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Jiaming (James) Wu</w:t>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Jiaming (James) Wu</w:t>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Finance and Accounting</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0" w:after="0"/>
        <w:jc w:val="right"/>
        <w:rPr>
          <w:rFonts w:ascii="Times New Roman" w:hAnsi="Times New Roman"/>
          <w:b/>
          <w:sz w:val="20"/>
        </w:rPr>
      </w:pPr>
      <w:bookmarkStart w:id="42" w:name="d36361dex131.htm"/>
      <w:bookmarkStart w:id="43" w:name="ksd36361dex131"/>
      <w:bookmarkEnd w:id="42"/>
      <w:bookmarkEnd w:id="43"/>
      <w:r>
        <w:rPr>
          <w:rFonts w:ascii="Times New Roman" w:hAnsi="Times New Roman"/>
          <w:b/>
          <w:sz w:val="20"/>
        </w:rPr>
        <w:t xml:space="preserve">Exhibit 13.1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XPeng Inc. (the “Company”) on Form 20-F for the year ended December 31, 2025 as filed with the Securities and Exchange Commission on the date hereof (the “Report”), I, Xiaopeng He, Chief Executive Officer of the Company, certify, pursuant to 18 U.S.C. Section 1350, as adopted pursuant to Section 906 of the Sarbanes-Oxley Act of 2002, that to my knowledge: </w:t>
      </w:r>
    </w:p>
    <w:p>
      <w:pPr>
        <w:pStyle w:val="TextBody"/>
        <w:bidi w:val="0"/>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 April 16,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2"/>
        <w:gridCol w:w="60"/>
        <w:gridCol w:w="3360"/>
      </w:tblGrid>
      <w:tr>
        <w:trPr/>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Xiaopeng He</w:t>
            </w:r>
          </w:p>
        </w:tc>
      </w:tr>
      <w:tr>
        <w:trPr/>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4" w:name="d36361dex132.htm"/>
      <w:bookmarkStart w:id="45" w:name="ksd36361dex132"/>
      <w:bookmarkEnd w:id="44"/>
      <w:bookmarkEnd w:id="45"/>
      <w:r>
        <w:rPr>
          <w:rFonts w:ascii="Times New Roman" w:hAnsi="Times New Roman"/>
          <w:b/>
          <w:sz w:val="20"/>
        </w:rPr>
        <w:t xml:space="preserve">Exhibit 13.2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XPeng Inc. (the “Company”) on Form 20-F for the year ended December 31, 2025 as filed with the Securities and Exchange Commission on the date hereof (the “Report”), I, Jiaming (James) Wu, principal financial and accounting officer of the Company, certify, pursuant to 18 U.S.C. Section 1350, as adopted pursuant to Section 906 of the Sarbanes-Oxley Act of 2002, that to my knowledge: </w:t>
      </w:r>
    </w:p>
    <w:p>
      <w:pPr>
        <w:pStyle w:val="TextBody"/>
        <w:bidi w:val="0"/>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360" w:after="0"/>
        <w:jc w:val="left"/>
        <w:rPr>
          <w:rFonts w:ascii="Times New Roman" w:hAnsi="Times New Roman"/>
          <w:sz w:val="20"/>
        </w:rPr>
      </w:pPr>
      <w:r>
        <w:rPr>
          <w:rFonts w:ascii="Times New Roman" w:hAnsi="Times New Roman"/>
          <w:sz w:val="20"/>
        </w:rPr>
        <w:t xml:space="preserve">Date: April 16, 2026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590"/>
        <w:gridCol w:w="60"/>
        <w:gridCol w:w="3515"/>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Jiaming (James) Wu</w:t>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Jiaming (James) Wu</w:t>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Finance and Accounting</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0" w:after="0"/>
        <w:jc w:val="right"/>
        <w:rPr>
          <w:rFonts w:ascii="Times New Roman" w:hAnsi="Times New Roman"/>
          <w:b/>
          <w:sz w:val="20"/>
        </w:rPr>
      </w:pPr>
      <w:bookmarkStart w:id="46" w:name="d36361dex151.htm"/>
      <w:bookmarkStart w:id="47" w:name="ksd36361dex151"/>
      <w:bookmarkEnd w:id="46"/>
      <w:bookmarkEnd w:id="47"/>
      <w:r>
        <w:rPr>
          <w:rFonts w:ascii="Times New Roman" w:hAnsi="Times New Roman"/>
          <w:b/>
          <w:sz w:val="20"/>
        </w:rPr>
        <w:t xml:space="preserve">Exhibit 15.1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812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6"/>
                    <a:stretch>
                      <a:fillRect/>
                    </a:stretch>
                  </pic:blipFill>
                  <pic:spPr bwMode="auto">
                    <a:xfrm>
                      <a:off x="0" y="0"/>
                      <a:ext cx="2381250" cy="276225"/>
                    </a:xfrm>
                    <a:prstGeom prst="rect">
                      <a:avLst/>
                    </a:prstGeom>
                  </pic:spPr>
                </pic:pic>
              </a:graphicData>
            </a:graphic>
          </wp:inline>
        </w:drawing>
      </w:r>
      <w:r>
        <w:rPr/>
        <w:t xml:space="preserve"> </w:t>
      </w:r>
    </w:p>
    <w:p>
      <w:pPr>
        <w:pStyle w:val="TextBody"/>
        <w:bidi w:val="0"/>
        <w:spacing w:before="0" w:after="0"/>
        <w:jc w:val="center"/>
        <w:rPr>
          <w:rFonts w:ascii="Times New Roman" w:hAnsi="Times New Roman"/>
          <w:sz w:val="28"/>
        </w:rPr>
      </w:pPr>
      <w:r>
        <w:rPr>
          <w:rFonts w:ascii="Times New Roman" w:hAnsi="Times New Roman"/>
          <w:sz w:val="28"/>
        </w:rPr>
        <w:t>F</w:t>
      </w:r>
      <w:r>
        <w:rPr>
          <w:rFonts w:ascii="Times New Roman" w:hAnsi="Times New Roman"/>
          <w:sz w:val="20"/>
        </w:rPr>
        <w:t>ANGDA</w:t>
      </w:r>
      <w:r>
        <w:rPr>
          <w:rFonts w:ascii="Times New Roman" w:hAnsi="Times New Roman"/>
          <w:sz w:val="28"/>
        </w:rPr>
        <w:t xml:space="preserve"> P</w:t>
      </w:r>
      <w:r>
        <w:rPr>
          <w:rFonts w:ascii="Times New Roman" w:hAnsi="Times New Roman"/>
          <w:sz w:val="20"/>
        </w:rPr>
        <w:t>ARTNERS</w:t>
      </w:r>
      <w:r>
        <w:rPr>
          <w:rFonts w:ascii="Times New Roman" w:hAnsi="Times New Roman"/>
          <w:sz w:val="28"/>
        </w:rPr>
        <w:t xml:space="preserve"> </w:t>
      </w:r>
    </w:p>
    <w:p>
      <w:pPr>
        <w:pStyle w:val="TextBody"/>
        <w:bidi w:val="0"/>
        <w:spacing w:before="0" w:after="0"/>
        <w:jc w:val="center"/>
        <w:rPr>
          <w:rFonts w:ascii="Times New Roman" w:hAnsi="Times New Roman"/>
          <w:sz w:val="16"/>
        </w:rPr>
      </w:pPr>
      <w:r>
        <w:rPr>
          <w:rFonts w:ascii="Times New Roman" w:hAnsi="Times New Roman"/>
          <w:sz w:val="16"/>
          <w:u w:val="single"/>
        </w:rPr>
        <w:t>http://www.fangdalaw.com</w:t>
      </w:r>
      <w:r>
        <w:rPr>
          <w:rFonts w:ascii="Times New Roman" w:hAnsi="Times New Roman"/>
          <w:sz w:val="16"/>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0"/>
        <w:gridCol w:w="105"/>
        <w:gridCol w:w="817"/>
        <w:gridCol w:w="105"/>
        <w:gridCol w:w="719"/>
        <w:gridCol w:w="105"/>
        <w:gridCol w:w="2274"/>
      </w:tblGrid>
      <w:tr>
        <w:trPr/>
        <w:tc>
          <w:tcPr>
            <w:tcW w:w="608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6080" w:type="dxa"/>
            <w:tcBorders/>
          </w:tcPr>
          <w:p>
            <w:pPr>
              <w:pStyle w:val="TableContents"/>
              <w:bidi w:val="0"/>
              <w:spacing w:before="0" w:after="283"/>
              <w:jc w:val="left"/>
              <w:rPr/>
            </w:pPr>
            <w:r>
              <w:rPr>
                <w:rFonts w:eastAsia="pmingliu"/>
                <w:sz w:val="18"/>
              </w:rPr>
              <w:t>中国北京市朝阳区光华路</w:t>
            </w:r>
            <w:r>
              <w:rPr/>
              <w:t>1</w:t>
            </w:r>
            <w:r>
              <w:rPr>
                <w:rFonts w:eastAsia="pmingliu"/>
                <w:sz w:val="18"/>
              </w:rPr>
              <w:t>号</w:t>
            </w:r>
          </w:p>
        </w:tc>
        <w:tc>
          <w:tcPr>
            <w:tcW w:w="105"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rFonts w:eastAsia="pmingliu"/>
                <w:sz w:val="18"/>
              </w:rPr>
            </w:pPr>
            <w:r>
              <w:rPr>
                <w:rFonts w:eastAsia="pmingliu"/>
                <w:sz w:val="18"/>
              </w:rPr>
              <w:t>电子邮件</w:t>
            </w:r>
          </w:p>
        </w:tc>
        <w:tc>
          <w:tcPr>
            <w:tcW w:w="10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E-mail:</w:t>
            </w:r>
          </w:p>
        </w:tc>
        <w:tc>
          <w:tcPr>
            <w:tcW w:w="105" w:type="dxa"/>
            <w:tcBorders/>
            <w:vAlign w:val="bottom"/>
          </w:tcPr>
          <w:p>
            <w:pPr>
              <w:pStyle w:val="TableContents"/>
              <w:bidi w:val="0"/>
              <w:spacing w:before="0" w:after="283"/>
              <w:jc w:val="left"/>
              <w:rPr/>
            </w:pPr>
            <w:r>
              <w:rPr/>
              <w:t> </w:t>
            </w:r>
          </w:p>
        </w:tc>
        <w:tc>
          <w:tcPr>
            <w:tcW w:w="2274" w:type="dxa"/>
            <w:tcBorders/>
            <w:vAlign w:val="bottom"/>
          </w:tcPr>
          <w:p>
            <w:pPr>
              <w:pStyle w:val="TableContents"/>
              <w:bidi w:val="0"/>
              <w:spacing w:before="0" w:after="283"/>
              <w:jc w:val="left"/>
              <w:rPr>
                <w:u w:val="single"/>
              </w:rPr>
            </w:pPr>
            <w:r>
              <w:rPr>
                <w:u w:val="single"/>
              </w:rPr>
              <w:t>email@fangdalaw.com</w:t>
            </w:r>
          </w:p>
        </w:tc>
      </w:tr>
      <w:tr>
        <w:trPr/>
        <w:tc>
          <w:tcPr>
            <w:tcW w:w="6080" w:type="dxa"/>
            <w:tcBorders/>
          </w:tcPr>
          <w:p>
            <w:pPr>
              <w:pStyle w:val="TableContents"/>
              <w:bidi w:val="0"/>
              <w:spacing w:before="0" w:after="283"/>
              <w:jc w:val="left"/>
              <w:rPr/>
            </w:pPr>
            <w:r>
              <w:rPr>
                <w:rFonts w:eastAsia="pmingliu"/>
                <w:sz w:val="18"/>
              </w:rPr>
              <w:t>北京嘉里中心北楼</w:t>
            </w:r>
            <w:r>
              <w:rPr/>
              <w:t>27</w:t>
            </w:r>
            <w:r>
              <w:rPr>
                <w:rFonts w:eastAsia="pmingliu"/>
                <w:sz w:val="18"/>
              </w:rPr>
              <w:t>层</w:t>
            </w:r>
          </w:p>
        </w:tc>
        <w:tc>
          <w:tcPr>
            <w:tcW w:w="105"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rFonts w:eastAsia="pmingliu"/>
                <w:sz w:val="18"/>
              </w:rPr>
              <w:t>电</w:t>
            </w:r>
            <w:r>
              <w:rPr/>
              <w:t xml:space="preserve"> </w:t>
            </w:r>
            <w:r>
              <w:rPr>
                <w:rFonts w:eastAsia="pmingliu"/>
                <w:sz w:val="18"/>
              </w:rPr>
              <w:t>话</w:t>
            </w:r>
          </w:p>
        </w:tc>
        <w:tc>
          <w:tcPr>
            <w:tcW w:w="10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Tel.:</w:t>
            </w:r>
          </w:p>
        </w:tc>
        <w:tc>
          <w:tcPr>
            <w:tcW w:w="105" w:type="dxa"/>
            <w:tcBorders/>
            <w:vAlign w:val="bottom"/>
          </w:tcPr>
          <w:p>
            <w:pPr>
              <w:pStyle w:val="TableContents"/>
              <w:bidi w:val="0"/>
              <w:spacing w:before="0" w:after="283"/>
              <w:jc w:val="left"/>
              <w:rPr/>
            </w:pPr>
            <w:r>
              <w:rPr/>
              <w:t> </w:t>
            </w:r>
          </w:p>
        </w:tc>
        <w:tc>
          <w:tcPr>
            <w:tcW w:w="2274" w:type="dxa"/>
            <w:tcBorders/>
            <w:vAlign w:val="bottom"/>
          </w:tcPr>
          <w:p>
            <w:pPr>
              <w:pStyle w:val="TableContents"/>
              <w:bidi w:val="0"/>
              <w:spacing w:before="0" w:after="283"/>
              <w:jc w:val="left"/>
              <w:rPr/>
            </w:pPr>
            <w:r>
              <w:rPr/>
              <w:t>86-10-5769-5600</w:t>
            </w:r>
          </w:p>
        </w:tc>
      </w:tr>
      <w:tr>
        <w:trPr/>
        <w:tc>
          <w:tcPr>
            <w:tcW w:w="6080" w:type="dxa"/>
            <w:tcBorders/>
          </w:tcPr>
          <w:p>
            <w:pPr>
              <w:pStyle w:val="TableContents"/>
              <w:bidi w:val="0"/>
              <w:spacing w:before="0" w:after="283"/>
              <w:jc w:val="left"/>
              <w:rPr/>
            </w:pPr>
            <w:r>
              <w:rPr>
                <w:rFonts w:eastAsia="pmingliu"/>
                <w:sz w:val="18"/>
              </w:rPr>
              <w:t>邮政编码：</w:t>
            </w:r>
            <w:r>
              <w:rPr/>
              <w:t>100020</w:t>
            </w:r>
          </w:p>
        </w:tc>
        <w:tc>
          <w:tcPr>
            <w:tcW w:w="105"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rFonts w:eastAsia="pmingliu"/>
                <w:sz w:val="18"/>
              </w:rPr>
              <w:t>传</w:t>
            </w:r>
            <w:r>
              <w:rPr/>
              <w:t xml:space="preserve"> </w:t>
            </w:r>
            <w:r>
              <w:rPr>
                <w:rFonts w:eastAsia="pmingliu"/>
                <w:sz w:val="18"/>
              </w:rPr>
              <w:t>真</w:t>
            </w:r>
          </w:p>
        </w:tc>
        <w:tc>
          <w:tcPr>
            <w:tcW w:w="10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Fax:</w:t>
            </w:r>
          </w:p>
        </w:tc>
        <w:tc>
          <w:tcPr>
            <w:tcW w:w="105" w:type="dxa"/>
            <w:tcBorders/>
            <w:vAlign w:val="bottom"/>
          </w:tcPr>
          <w:p>
            <w:pPr>
              <w:pStyle w:val="TableContents"/>
              <w:bidi w:val="0"/>
              <w:spacing w:before="0" w:after="283"/>
              <w:jc w:val="left"/>
              <w:rPr/>
            </w:pPr>
            <w:r>
              <w:rPr/>
              <w:t> </w:t>
            </w:r>
          </w:p>
        </w:tc>
        <w:tc>
          <w:tcPr>
            <w:tcW w:w="2274" w:type="dxa"/>
            <w:tcBorders/>
            <w:vAlign w:val="bottom"/>
          </w:tcPr>
          <w:p>
            <w:pPr>
              <w:pStyle w:val="TableContents"/>
              <w:bidi w:val="0"/>
              <w:spacing w:before="0" w:after="283"/>
              <w:jc w:val="left"/>
              <w:rPr/>
            </w:pPr>
            <w:r>
              <w:rPr/>
              <w:t>86-10-5769-5788</w:t>
            </w:r>
          </w:p>
        </w:tc>
      </w:tr>
    </w:tbl>
    <w:p>
      <w:pPr>
        <w:pStyle w:val="TextBody"/>
        <w:bidi w:val="0"/>
        <w:spacing w:before="240" w:after="0"/>
        <w:jc w:val="left"/>
        <w:rPr>
          <w:rFonts w:ascii="Times New Roman" w:hAnsi="Times New Roman"/>
          <w:sz w:val="20"/>
        </w:rPr>
      </w:pPr>
      <w:r>
        <w:rPr>
          <w:rFonts w:ascii="Times New Roman" w:hAnsi="Times New Roman"/>
          <w:sz w:val="20"/>
        </w:rPr>
        <w:t xml:space="preserve">27/F, North Tower, Beijing Kerry Centre </w:t>
      </w:r>
    </w:p>
    <w:p>
      <w:pPr>
        <w:pStyle w:val="TextBody"/>
        <w:bidi w:val="0"/>
        <w:spacing w:before="0" w:after="0"/>
        <w:jc w:val="left"/>
        <w:rPr>
          <w:rFonts w:ascii="Times New Roman" w:hAnsi="Times New Roman"/>
          <w:sz w:val="20"/>
        </w:rPr>
      </w:pPr>
      <w:r>
        <w:rPr>
          <w:rFonts w:ascii="Times New Roman" w:hAnsi="Times New Roman"/>
          <w:sz w:val="20"/>
        </w:rPr>
        <w:t xml:space="preserve">1 Guanghua Road, Chaoyang District </w:t>
      </w:r>
    </w:p>
    <w:p>
      <w:pPr>
        <w:pStyle w:val="TextBody"/>
        <w:bidi w:val="0"/>
        <w:spacing w:before="0" w:after="0"/>
        <w:jc w:val="left"/>
        <w:rPr>
          <w:rFonts w:ascii="Times New Roman" w:hAnsi="Times New Roman"/>
          <w:sz w:val="20"/>
        </w:rPr>
      </w:pPr>
      <w:r>
        <w:rPr>
          <w:rFonts w:ascii="Times New Roman" w:hAnsi="Times New Roman"/>
          <w:sz w:val="20"/>
        </w:rPr>
        <w:t xml:space="preserve">Beijing 100020, China </w:t>
      </w:r>
    </w:p>
    <w:p>
      <w:pPr>
        <w:pStyle w:val="TextBody"/>
        <w:bidi w:val="0"/>
        <w:spacing w:before="240" w:after="0"/>
        <w:jc w:val="left"/>
        <w:rPr>
          <w:rFonts w:ascii="Times New Roman" w:hAnsi="Times New Roman"/>
          <w:sz w:val="20"/>
        </w:rPr>
      </w:pPr>
      <w:r>
        <w:rPr>
          <w:rFonts w:ascii="Times New Roman" w:hAnsi="Times New Roman"/>
          <w:sz w:val="20"/>
        </w:rPr>
        <w:t xml:space="preserve">XPeng Inc. </w:t>
      </w:r>
    </w:p>
    <w:p>
      <w:pPr>
        <w:pStyle w:val="TextBody"/>
        <w:bidi w:val="0"/>
        <w:spacing w:before="240" w:after="0"/>
        <w:jc w:val="left"/>
        <w:rPr>
          <w:rFonts w:ascii="Times New Roman" w:hAnsi="Times New Roman"/>
          <w:sz w:val="20"/>
        </w:rPr>
      </w:pPr>
      <w:r>
        <w:rPr>
          <w:rFonts w:ascii="Times New Roman" w:hAnsi="Times New Roman"/>
          <w:sz w:val="20"/>
        </w:rPr>
        <w:t xml:space="preserve">No. 10, Cencun Fengzhuang Avenue </w:t>
      </w:r>
    </w:p>
    <w:p>
      <w:pPr>
        <w:pStyle w:val="TextBody"/>
        <w:bidi w:val="0"/>
        <w:spacing w:before="0" w:after="0"/>
        <w:jc w:val="left"/>
        <w:rPr>
          <w:rFonts w:ascii="Times New Roman" w:hAnsi="Times New Roman"/>
          <w:sz w:val="20"/>
        </w:rPr>
      </w:pPr>
      <w:r>
        <w:rPr>
          <w:rFonts w:ascii="Times New Roman" w:hAnsi="Times New Roman"/>
          <w:sz w:val="20"/>
        </w:rPr>
        <w:t xml:space="preserve">Tianhe District, Guangzhou </w:t>
      </w:r>
    </w:p>
    <w:p>
      <w:pPr>
        <w:pStyle w:val="TextBody"/>
        <w:bidi w:val="0"/>
        <w:spacing w:before="0" w:after="0"/>
        <w:jc w:val="left"/>
        <w:rPr>
          <w:rFonts w:ascii="Times New Roman" w:hAnsi="Times New Roman"/>
          <w:sz w:val="20"/>
        </w:rPr>
      </w:pPr>
      <w:r>
        <w:rPr>
          <w:rFonts w:ascii="Times New Roman" w:hAnsi="Times New Roman"/>
          <w:sz w:val="20"/>
        </w:rPr>
        <w:t xml:space="preserve">Guangdong 510640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right"/>
        <w:rPr>
          <w:rFonts w:ascii="Times New Roman" w:hAnsi="Times New Roman"/>
          <w:sz w:val="20"/>
        </w:rPr>
      </w:pPr>
      <w:r>
        <w:rPr>
          <w:rFonts w:ascii="Times New Roman" w:hAnsi="Times New Roman"/>
          <w:sz w:val="20"/>
        </w:rPr>
        <w:t xml:space="preserve">April 16, 2026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references to our firm under “Item 4. Information on the Company—C. Organizational Structure—Contractual Arrangements with the Group VIEs and Their Shareholders”, in XPeng Inc.’s Annual Report on Form 20-F for the year ended December 31, 2025 (the “Annual Report”), which is filed with the Securities and Exchange Commission (the “SEC”) on the date hereof, and further consent to the incorporation by reference the summaries of our opinions under these headings into the Registration Statements on Form S-8 (No. 333-251792, No. 333-265733, No. 333-282085 and No. 333-290373). We also consent to the filing with the SEC of this consent letter as an exhibit to the Annual Report.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come within the category of persons whose consent is required under Section 7 of the Securities Act of 1933, or under the Securities Exchange Act of 1934, in each case, as amended, or the regulations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faithfully,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Fangda Partners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Fangda Partners</w:t>
            </w:r>
          </w:p>
        </w:tc>
      </w:tr>
    </w:tbl>
    <w:p>
      <w:pPr>
        <w:pStyle w:val="TextBody"/>
        <w:bidi w:val="0"/>
        <w:spacing w:before="0" w:after="0"/>
        <w:jc w:val="right"/>
        <w:rPr>
          <w:rFonts w:ascii="Times New Roman" w:hAnsi="Times New Roman"/>
          <w:b/>
          <w:sz w:val="20"/>
        </w:rPr>
      </w:pPr>
      <w:bookmarkStart w:id="48" w:name="d36361dex152.htm"/>
      <w:bookmarkStart w:id="49" w:name="ksd36361dex152"/>
      <w:bookmarkEnd w:id="48"/>
      <w:bookmarkEnd w:id="49"/>
      <w:r>
        <w:rPr>
          <w:rFonts w:ascii="Times New Roman" w:hAnsi="Times New Roman"/>
          <w:b/>
          <w:sz w:val="20"/>
        </w:rPr>
        <w:t xml:space="preserve">Exhibit 15.2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Registration Statements on Form S-8 (No. 333-251792, No. 333-265733, No. 333-282085 and No. 333-290373) of XPeng Inc. of our report dated April 16, 2026 relating to the financial statements and the effectiveness of internal control over financial reporting, which appears in this Form 20-F.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Zhong Tian LLP</w:t>
            </w:r>
          </w:p>
        </w:tc>
      </w:tr>
      <w:tr>
        <w:trPr/>
        <w:tc>
          <w:tcPr>
            <w:tcW w:w="4082" w:type="dxa"/>
            <w:tcBorders/>
          </w:tcPr>
          <w:p>
            <w:pPr>
              <w:pStyle w:val="TableContents"/>
              <w:bidi w:val="0"/>
              <w:spacing w:before="0" w:after="283"/>
              <w:jc w:val="left"/>
              <w:rPr/>
            </w:pPr>
            <w:r>
              <w:rPr/>
              <w:t>Shenzhen, the People’s Republic of China</w:t>
            </w:r>
          </w:p>
        </w:tc>
      </w:tr>
      <w:tr>
        <w:trPr/>
        <w:tc>
          <w:tcPr>
            <w:tcW w:w="4082" w:type="dxa"/>
            <w:tcBorders/>
          </w:tcPr>
          <w:p>
            <w:pPr>
              <w:pStyle w:val="TableContents"/>
              <w:bidi w:val="0"/>
              <w:spacing w:before="0" w:after="283"/>
              <w:jc w:val="left"/>
              <w:rPr/>
            </w:pPr>
            <w:r>
              <w:rPr/>
              <w:t>April 16, 2026</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1810997/000119312523170583/d522176dex31.htm" TargetMode="External"/><Relationship Id="rId5" Type="http://schemas.openxmlformats.org/officeDocument/2006/relationships/hyperlink" Target="http://www.sec.gov/Archives/edgar/data/1472033/000119380520001060/e619883_ex99-a.htm" TargetMode="External"/><Relationship Id="rId6" Type="http://schemas.openxmlformats.org/officeDocument/2006/relationships/hyperlink" Target="http://www.sec.gov/Archives/edgar/data/1810997/000119312520226661/d890887dex41.htm" TargetMode="External"/><Relationship Id="rId7" Type="http://schemas.openxmlformats.org/officeDocument/2006/relationships/hyperlink" Target="http://www.sec.gov/Archives/edgar/data/1472033/000119380520001060/e619883_ex99-a.htm" TargetMode="External"/><Relationship Id="rId8" Type="http://schemas.openxmlformats.org/officeDocument/2006/relationships/hyperlink" Target="http://www.sec.gov/Archives/edgar/data/1810997/000119312524098519/d650931dex24.htm" TargetMode="External"/><Relationship Id="rId9" Type="http://schemas.openxmlformats.org/officeDocument/2006/relationships/hyperlink" Target="http://www.sec.gov/Archives/edgar/data/1472033/000119380523000765/e618649_ex99-ci.htm" TargetMode="External"/><Relationship Id="rId10" Type="http://schemas.openxmlformats.org/officeDocument/2006/relationships/hyperlink" Target="http://www.sec.gov/Archives/edgar/data/1472033/000119380521000666/e620503_ex99-c.htm" TargetMode="External"/><Relationship Id="rId11" Type="http://schemas.openxmlformats.org/officeDocument/2006/relationships/hyperlink" Target="http://www.sec.gov/Archives/edgar/data/1810997/000119312520226661/d890887dex101.htm" TargetMode="External"/><Relationship Id="rId12" Type="http://schemas.openxmlformats.org/officeDocument/2006/relationships/hyperlink" Target="http://www.sec.gov/Archives/edgar/data/1810997/000119312520226661/d890887dex102.htm" TargetMode="External"/><Relationship Id="rId13" Type="http://schemas.openxmlformats.org/officeDocument/2006/relationships/hyperlink" Target="http://www.sec.gov/Archives/edgar/data/1810997/000119312525082001/d898600dex43.htm" TargetMode="External"/><Relationship Id="rId14" Type="http://schemas.openxmlformats.org/officeDocument/2006/relationships/hyperlink" Target="http://www.sec.gov/Archives/edgar/data/1810997/000119312525082001/d898600dex44.htm" TargetMode="External"/><Relationship Id="rId15" Type="http://schemas.openxmlformats.org/officeDocument/2006/relationships/hyperlink" Target="http://www.sec.gov/Archives/edgar/data/1810997/000119312525082001/d898600dex45.htm" TargetMode="External"/><Relationship Id="rId16" Type="http://schemas.openxmlformats.org/officeDocument/2006/relationships/hyperlink" Target="http://www.sec.gov/Archives/edgar/data/1810997/000119312525082001/d898600dex46.htm" TargetMode="External"/><Relationship Id="rId17" Type="http://schemas.openxmlformats.org/officeDocument/2006/relationships/hyperlink" Target="http://www.sec.gov/Archives/edgar/data/1810997/000119312525082001/d898600dex47.htm" TargetMode="External"/><Relationship Id="rId18" Type="http://schemas.openxmlformats.org/officeDocument/2006/relationships/hyperlink" Target="http://www.sec.gov/Archives/edgar/data/1810997/000119312525082001/d898600dex48.htm" TargetMode="External"/><Relationship Id="rId19" Type="http://schemas.openxmlformats.org/officeDocument/2006/relationships/hyperlink" Target="http://www.sec.gov/Archives/edgar/data/1810997/000119312525082001/d898600dex49.htm" TargetMode="External"/><Relationship Id="rId20" Type="http://schemas.openxmlformats.org/officeDocument/2006/relationships/hyperlink" Target="http://www.sec.gov/Archives/edgar/data/1810997/000119312525082001/d898600dex410.htm" TargetMode="External"/><Relationship Id="rId21" Type="http://schemas.openxmlformats.org/officeDocument/2006/relationships/hyperlink" Target="http://www.sec.gov/Archives/edgar/data/1810997/000119312525082001/d898600dex411.htm" TargetMode="External"/><Relationship Id="rId22" Type="http://schemas.openxmlformats.org/officeDocument/2006/relationships/hyperlink" Target="http://www.sec.gov/Archives/edgar/data/1810997/000119312525082001/d898600dex412.htm" TargetMode="External"/><Relationship Id="rId23" Type="http://schemas.openxmlformats.org/officeDocument/2006/relationships/hyperlink" Target="http://www.sec.gov/Archives/edgar/data/1810997/000119312520212871/d890887dex1013.htm" TargetMode="External"/><Relationship Id="rId24" Type="http://schemas.openxmlformats.org/officeDocument/2006/relationships/hyperlink" Target="http://www.sec.gov/Archives/edgar/data/1810997/000119312520212871/d890887dex1014.htm" TargetMode="External"/><Relationship Id="rId25" Type="http://schemas.openxmlformats.org/officeDocument/2006/relationships/hyperlink" Target="http://www.sec.gov/Archives/edgar/data/1810997/000119312520216010/d890887dex1015.htm" TargetMode="External"/><Relationship Id="rId26" Type="http://schemas.openxmlformats.org/officeDocument/2006/relationships/hyperlink" Target="http://www.sec.gov/Archives/edgar/data/1810997/000119312520216010/d890887dex1016.htm" TargetMode="External"/><Relationship Id="rId27" Type="http://schemas.openxmlformats.org/officeDocument/2006/relationships/hyperlink" Target="http://www.sec.gov/Archives/edgar/data/1810997/000119312522125161/d281767dex417.htm" TargetMode="External"/><Relationship Id="rId28" Type="http://schemas.openxmlformats.org/officeDocument/2006/relationships/hyperlink" Target="http://www.sec.gov/Archives/edgar/data/1810997/000119312520226661/d890887dex1018.htm" TargetMode="External"/><Relationship Id="rId29" Type="http://schemas.openxmlformats.org/officeDocument/2006/relationships/hyperlink" Target="http://www.sec.gov/Archives/edgar/data/1810997/000119312520226661/d890887dex1019.htm" TargetMode="External"/><Relationship Id="rId30" Type="http://schemas.openxmlformats.org/officeDocument/2006/relationships/hyperlink" Target="http://www.sec.gov/Archives/edgar/data/1810997/000119312520255589/d51329dex992.htm" TargetMode="External"/><Relationship Id="rId31" Type="http://schemas.openxmlformats.org/officeDocument/2006/relationships/hyperlink" Target="http://www.sec.gov/Archives/edgar/data/1810997/000119312521118515/d63077dex421.htm" TargetMode="External"/><Relationship Id="rId32" Type="http://schemas.openxmlformats.org/officeDocument/2006/relationships/hyperlink" Target="http://www.sec.gov/Archives/edgar/data/1810997/000119312521118515/d63077dex422.htm" TargetMode="External"/><Relationship Id="rId33" Type="http://schemas.openxmlformats.org/officeDocument/2006/relationships/hyperlink" Target="http://www.sec.gov/Archives/edgar/data/1810997/000119312522125161/d281767dex423.htm" TargetMode="External"/><Relationship Id="rId34" Type="http://schemas.openxmlformats.org/officeDocument/2006/relationships/hyperlink" Target="http://www.sec.gov/Archives/edgar/data/1810997/000119312522125161/d281767dex424.htm" TargetMode="External"/><Relationship Id="rId35" Type="http://schemas.openxmlformats.org/officeDocument/2006/relationships/hyperlink" Target="http://www.sec.gov/Archives/edgar/data/1810997/000119312522125161/d281767dex425.htm" TargetMode="External"/><Relationship Id="rId36" Type="http://schemas.openxmlformats.org/officeDocument/2006/relationships/hyperlink" Target="http://www.sec.gov/Archives/edgar/data/1810997/000119312522125161/d281767dex426.htm" TargetMode="External"/><Relationship Id="rId37" Type="http://schemas.openxmlformats.org/officeDocument/2006/relationships/hyperlink" Target="http://www.sec.gov/Archives/edgar/data/1810997/000119312522125161/d281767dex427.htm" TargetMode="External"/><Relationship Id="rId38" Type="http://schemas.openxmlformats.org/officeDocument/2006/relationships/hyperlink" Target="http://www.sec.gov/Archives/edgar/data/1810997/000119312524098519/d650931dex428.htm" TargetMode="External"/><Relationship Id="rId39" Type="http://schemas.openxmlformats.org/officeDocument/2006/relationships/hyperlink" Target="http://www.sec.gov/Archives/edgar/data/1810997/000119312524098519/d650931dex429.htm" TargetMode="External"/><Relationship Id="rId40" Type="http://schemas.openxmlformats.org/officeDocument/2006/relationships/hyperlink" Target="http://www.sec.gov/Archives/edgar/data/1810997/000119312524098519/d650931dex430.htm" TargetMode="External"/><Relationship Id="rId41" Type="http://schemas.openxmlformats.org/officeDocument/2006/relationships/hyperlink" Target="http://www.sec.gov/Archives/edgar/data/1810997/000119312524098519/d650931dex431.htm" TargetMode="External"/><Relationship Id="rId42" Type="http://schemas.openxmlformats.org/officeDocument/2006/relationships/hyperlink" Target="http://www.sec.gov/Archives/edgar/data/1810997/000119312524098519/d650931dex432.htm" TargetMode="External"/><Relationship Id="rId43" Type="http://schemas.openxmlformats.org/officeDocument/2006/relationships/hyperlink" Target="http://www.sec.gov/Archives/edgar/data/1810997/000119312524098519/d650931dex433.htm" TargetMode="External"/><Relationship Id="rId44" Type="http://schemas.openxmlformats.org/officeDocument/2006/relationships/hyperlink" Target="http://www.sec.gov/Archives/edgar/data/1810997/000119312524098519/d650931dex434.htm" TargetMode="External"/><Relationship Id="rId45" Type="http://schemas.openxmlformats.org/officeDocument/2006/relationships/hyperlink" Target="http://www.sec.gov/Archives/edgar/data/1810997/000119312524098519/d650931dex435.htm" TargetMode="External"/><Relationship Id="rId46" Type="http://schemas.openxmlformats.org/officeDocument/2006/relationships/hyperlink" Target="http://www.sec.gov/Archives/edgar/data/1810997/000119312524098519/d650931dex436.htm" TargetMode="External"/><Relationship Id="rId47" Type="http://schemas.openxmlformats.org/officeDocument/2006/relationships/hyperlink" Target="http://www.sec.gov/Archives/edgar/data/1810997/000119312524098519/d650931dex437.htm" TargetMode="External"/><Relationship Id="rId48" Type="http://schemas.openxmlformats.org/officeDocument/2006/relationships/hyperlink" Target="http://www.sec.gov/Archives/edgar/data/1810997/000119312524098519/d650931dex438.htm" TargetMode="External"/><Relationship Id="rId49" Type="http://schemas.openxmlformats.org/officeDocument/2006/relationships/hyperlink" Target="http://www.sec.gov/Archives/edgar/data/1810997/000119312524098519/d650931dex439.htm" TargetMode="External"/><Relationship Id="rId50" Type="http://schemas.openxmlformats.org/officeDocument/2006/relationships/hyperlink" Target="http://www.sec.gov/Archives/edgar/data/1810997/000119312525082001/d898600dex440.htm" TargetMode="External"/><Relationship Id="rId51" Type="http://schemas.openxmlformats.org/officeDocument/2006/relationships/hyperlink" Target="http://www.sec.gov/Archives/edgar/data/1810997/000119312525082001/d898600dex441.htm" TargetMode="External"/><Relationship Id="rId52" Type="http://schemas.openxmlformats.org/officeDocument/2006/relationships/hyperlink" Target="http://www.sec.gov/Archives/edgar/data/1810997/000119312525208182/d27679dex47.htm" TargetMode="External"/><Relationship Id="rId53" Type="http://schemas.openxmlformats.org/officeDocument/2006/relationships/hyperlink" Target="http://www.sec.gov/Archives/edgar/data/1810997/000119312520226661/d890887dex991.htm" TargetMode="External"/><Relationship Id="rId54" Type="http://schemas.openxmlformats.org/officeDocument/2006/relationships/hyperlink" Target="http://www.sec.gov/Archives/edgar/data/1810997/000119312525082001/d898600dex112.htm" TargetMode="External"/><Relationship Id="rId55" Type="http://schemas.openxmlformats.org/officeDocument/2006/relationships/hyperlink" Target="http://www.sec.gov/Archives/edgar/data/1810997/000119312524098519/d650931dex97.htm" TargetMode="External"/><Relationship Id="rId56" Type="http://schemas.openxmlformats.org/officeDocument/2006/relationships/image" Target="media/image2.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200</Pages>
  <Words>159573</Words>
  <Characters>877483</Characters>
  <CharactersWithSpaces>1047005</CharactersWithSpaces>
  <Paragraphs>21596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EX-15.2</dc:title>
</cp:coreProperties>
</file>