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2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August 2024</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001-39466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43"/>
          <w:szCs w:val="43"/>
          <w:b w:val="1"/>
          <w:bCs w:val="1"/>
          <w:color w:val="auto"/>
        </w:rPr>
        <w:t>XPENG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No. 8 Songgang Road, Changxing Street</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Cencun, Tianhe District, Guangzhou</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Guangdong 510640</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200"/>
        <w:spacing w:after="0" w:line="207" w:lineRule="exact"/>
        <w:tabs>
          <w:tab w:leader="none" w:pos="5400" w:val="left"/>
          <w:tab w:leader="none" w:pos="5580" w:val="left"/>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ind w:left="45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Exhibit 99.1 </w:t>
      </w:r>
      <w:r>
        <w:rPr>
          <w:rFonts w:ascii="Times New Roman" w:cs="Times New Roman" w:eastAsia="Times New Roman" w:hAnsi="Times New Roman"/>
          <w:sz w:val="18"/>
          <w:szCs w:val="18"/>
          <w:u w:val="single" w:color="auto"/>
          <w:color w:val="0000EE"/>
        </w:rPr>
        <w:t>Announcement: Increase in Shareholding of the Controlling Shareholder</w:t>
      </w:r>
    </w:p>
    <w:p>
      <w:pPr>
        <w:sectPr>
          <w:pgSz w:w="11900" w:h="16838" w:orient="portrait"/>
          <w:cols w:equalWidth="0" w:num="1">
            <w:col w:w="10019"/>
          </w:cols>
          <w:pgMar w:left="440" w:top="266"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XPENG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Xiaopeng He</w:t>
            </w:r>
          </w:p>
        </w:tc>
      </w:tr>
      <w:tr>
        <w:trPr>
          <w:trHeight w:val="191"/>
        </w:trPr>
        <w:tc>
          <w:tcPr>
            <w:tcW w:w="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Xiaopeng He</w:t>
            </w: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26, 2024</w:t>
      </w:r>
    </w:p>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7" w:lineRule="exact"/>
        <w:rPr>
          <w:sz w:val="20"/>
          <w:szCs w:val="20"/>
          <w:color w:val="auto"/>
        </w:rPr>
      </w:pPr>
    </w:p>
    <w:p>
      <w:pPr>
        <w:ind w:right="540"/>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140335</wp:posOffset>
            </wp:positionV>
            <wp:extent cx="1131570" cy="5829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3157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3"/>
          <w:szCs w:val="33"/>
          <w:b w:val="1"/>
          <w:bCs w:val="1"/>
          <w:color w:val="auto"/>
        </w:rPr>
        <w:t>XPeng Inc.</w:t>
      </w:r>
    </w:p>
    <w:p>
      <w:pPr>
        <w:spacing w:after="0" w:line="45" w:lineRule="exact"/>
        <w:rPr>
          <w:sz w:val="20"/>
          <w:szCs w:val="20"/>
          <w:color w:val="auto"/>
        </w:rPr>
      </w:pPr>
    </w:p>
    <w:p>
      <w:pPr>
        <w:jc w:val="center"/>
        <w:spacing w:after="0" w:line="414" w:lineRule="exact"/>
        <w:rPr>
          <w:sz w:val="20"/>
          <w:szCs w:val="20"/>
          <w:color w:val="auto"/>
        </w:rPr>
      </w:pPr>
      <w:r>
        <w:rPr>
          <w:rFonts w:ascii="PMingLiU" w:cs="PMingLiU" w:eastAsia="PMingLiU" w:hAnsi="PMingLiU"/>
          <w:sz w:val="32"/>
          <w:szCs w:val="32"/>
          <w:color w:val="auto"/>
          <w:highlight w:val="black"/>
        </w:rPr>
        <w:t>小鵬汽車有限公司</w:t>
      </w:r>
      <w:r>
        <w:rPr>
          <w:rFonts w:ascii="Times New Roman" w:cs="Times New Roman" w:eastAsia="Times New Roman" w:hAnsi="Times New Roman"/>
          <w:sz w:val="36"/>
          <w:szCs w:val="36"/>
          <w:b w:val="1"/>
          <w:bCs w:val="1"/>
          <w:color w:val="auto"/>
        </w:rPr>
        <w:t>*</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 company controlled through weighted voting rights and incorporated in the Cayman Islands with limited liability)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Code: 9868)</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VOLUNTARY ANNOUNCEMENT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INCREASE IN SHAREHOLDING OF THE CONTROLLING SHAREHOLDER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announcement is made by XPeng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on a voluntary basis.</w:t>
      </w:r>
    </w:p>
    <w:p>
      <w:pPr>
        <w:spacing w:after="0" w:line="22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the Company was informed by Mr. Xiaopeng He (“</w:t>
      </w:r>
      <w:r>
        <w:rPr>
          <w:rFonts w:ascii="Times New Roman" w:cs="Times New Roman" w:eastAsia="Times New Roman" w:hAnsi="Times New Roman"/>
          <w:sz w:val="18"/>
          <w:szCs w:val="18"/>
          <w:b w:val="1"/>
          <w:bCs w:val="1"/>
          <w:color w:val="auto"/>
        </w:rPr>
        <w:t>Mr. He</w:t>
      </w:r>
      <w:r>
        <w:rPr>
          <w:rFonts w:ascii="Times New Roman" w:cs="Times New Roman" w:eastAsia="Times New Roman" w:hAnsi="Times New Roman"/>
          <w:sz w:val="18"/>
          <w:szCs w:val="18"/>
          <w:color w:val="auto"/>
        </w:rPr>
        <w:t>”), the co-founder, executive director, chairman, chief executive officer and a controlling shareholder of the Company, that he had purchased in the open market (i) a total of 1,000,000 Class A ordinary shares of the Company (the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at an average price of HK$27.13 per Class A ordinary share, and (ii) through Galaxy Dynasty Limited (“</w:t>
      </w:r>
      <w:r>
        <w:rPr>
          <w:rFonts w:ascii="Times New Roman" w:cs="Times New Roman" w:eastAsia="Times New Roman" w:hAnsi="Times New Roman"/>
          <w:sz w:val="18"/>
          <w:szCs w:val="18"/>
          <w:b w:val="1"/>
          <w:bCs w:val="1"/>
          <w:color w:val="auto"/>
        </w:rPr>
        <w:t>Galaxy Dynasty</w:t>
      </w:r>
      <w:r>
        <w:rPr>
          <w:rFonts w:ascii="Times New Roman" w:cs="Times New Roman" w:eastAsia="Times New Roman" w:hAnsi="Times New Roman"/>
          <w:sz w:val="18"/>
          <w:szCs w:val="18"/>
          <w:color w:val="auto"/>
        </w:rPr>
        <w:t>”), an entity wholly-owned by Mr. He, a total of 1,419,922 American depositary shares of the Company (the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at an average price of US$7.02 per ADS, from August 21, 2024 to August 23, 2024 (the “</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Immediately following the Acquisition, (i) Galaxy Dynasty holds 1,419,922 ADSs, and (ii) Mr. He is interested in 327,708,257 Class B ordinary shares of the Company and 2,200,000 ADSs held by Simplicity Holding Limited, 21,000,000 Class B ordinary shares of the Company held by Respect Holding Limited, 1,419,922 ADSs held by Galaxy Dynasty and 1,000,000 Class A ordinary shares held directly by himself, representing approximately 18.8% of the total issued share capital of the Company as at the date of this announcement.</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Board believes that the Acquisition demonstrates the strong confidence of Mr. He towards the prospects and growth potential of the Company, as well as his long-term commitment towards the Company. Mr. He has also informed the Company that he plans to further increase his shareholding in the Company, subject to compliance with applicable legal and regulatory requirements.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and potential investors of the Company are advised to exercise caution when dealing in the securities of the Company.</w:t>
      </w:r>
    </w:p>
    <w:p>
      <w:pPr>
        <w:spacing w:after="0" w:line="256" w:lineRule="exact"/>
        <w:rPr>
          <w:sz w:val="20"/>
          <w:szCs w:val="20"/>
          <w:color w:val="auto"/>
        </w:rPr>
      </w:pPr>
    </w:p>
    <w:p>
      <w:pPr>
        <w:jc w:val="center"/>
        <w:ind w:left="748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7480"/>
        <w:spacing w:after="0"/>
        <w:rPr>
          <w:sz w:val="20"/>
          <w:szCs w:val="20"/>
          <w:color w:val="auto"/>
        </w:rPr>
      </w:pPr>
      <w:r>
        <w:rPr>
          <w:rFonts w:ascii="Times New Roman" w:cs="Times New Roman" w:eastAsia="Times New Roman" w:hAnsi="Times New Roman"/>
          <w:sz w:val="18"/>
          <w:szCs w:val="18"/>
          <w:b w:val="1"/>
          <w:bCs w:val="1"/>
          <w:color w:val="auto"/>
        </w:rPr>
        <w:t>XPeng Inc.</w:t>
      </w:r>
    </w:p>
    <w:p>
      <w:pPr>
        <w:spacing w:after="0" w:line="9" w:lineRule="exact"/>
        <w:rPr>
          <w:sz w:val="20"/>
          <w:szCs w:val="20"/>
          <w:color w:val="auto"/>
        </w:rPr>
      </w:pPr>
    </w:p>
    <w:p>
      <w:pPr>
        <w:jc w:val="center"/>
        <w:ind w:left="7480"/>
        <w:spacing w:after="0"/>
        <w:rPr>
          <w:sz w:val="20"/>
          <w:szCs w:val="20"/>
          <w:color w:val="auto"/>
        </w:rPr>
      </w:pPr>
      <w:r>
        <w:rPr>
          <w:rFonts w:ascii="Times New Roman" w:cs="Times New Roman" w:eastAsia="Times New Roman" w:hAnsi="Times New Roman"/>
          <w:sz w:val="18"/>
          <w:szCs w:val="18"/>
          <w:b w:val="1"/>
          <w:bCs w:val="1"/>
          <w:color w:val="auto"/>
        </w:rPr>
        <w:t>Xiaopeng He</w:t>
      </w:r>
    </w:p>
    <w:p>
      <w:pPr>
        <w:spacing w:after="0" w:line="9" w:lineRule="exact"/>
        <w:rPr>
          <w:sz w:val="20"/>
          <w:szCs w:val="20"/>
          <w:color w:val="auto"/>
        </w:rPr>
      </w:pPr>
    </w:p>
    <w:p>
      <w:pPr>
        <w:jc w:val="center"/>
        <w:ind w:left="7480"/>
        <w:spacing w:after="0"/>
        <w:rPr>
          <w:sz w:val="20"/>
          <w:szCs w:val="20"/>
          <w:color w:val="auto"/>
        </w:rPr>
      </w:pPr>
      <w:r>
        <w:rPr>
          <w:rFonts w:ascii="Times New Roman" w:cs="Times New Roman" w:eastAsia="Times New Roman" w:hAnsi="Times New Roman"/>
          <w:sz w:val="18"/>
          <w:szCs w:val="18"/>
          <w:i w:val="1"/>
          <w:iCs w:val="1"/>
          <w:color w:val="auto"/>
        </w:rPr>
        <w:t>Chairman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Monday, August 26, 2024</w:t>
      </w:r>
    </w:p>
    <w:p>
      <w:pPr>
        <w:spacing w:after="0" w:line="223"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As at the date of this announcement, the board of directors of the Company comprises Mr. Xiaopeng He as an executive Director, Mr. Ji-Xun Foo as a non-executive Director, and Mr. Donghao Yang, Ms. Fang Qu and Mr. HongJiang Zhang as independent non-executive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For identification purpose only</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2024-08-26T05:19:08Z</dcterms:created>
  <dcterms:modified xsi:type="dcterms:W3CDTF">2024-08-26T05:19:08Z</dcterms:modified>
</cp:coreProperties>
</file>