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35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Notice of the Annual General Meeting</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7"/>
          <w:szCs w:val="17"/>
          <w:u w:val="single" w:color="auto"/>
          <w:color w:val="0000EE"/>
        </w:rPr>
        <w:t>Proxy Statement/Circular for Annual General Meeting</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99.3</w:t>
      </w:r>
      <w:r>
        <w:rPr>
          <w:sz w:val="20"/>
          <w:szCs w:val="20"/>
          <w:color w:val="auto"/>
        </w:rPr>
        <w:tab/>
      </w:r>
      <w:r>
        <w:rPr>
          <w:rFonts w:ascii="Times New Roman" w:cs="Times New Roman" w:eastAsia="Times New Roman" w:hAnsi="Times New Roman"/>
          <w:sz w:val="17"/>
          <w:szCs w:val="17"/>
          <w:u w:val="single" w:color="auto"/>
          <w:color w:val="0000EE"/>
        </w:rPr>
        <w:t>Form of Proxy for Annual General Meeting</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99.4</w:t>
      </w:r>
      <w:r>
        <w:rPr>
          <w:sz w:val="20"/>
          <w:szCs w:val="20"/>
          <w:color w:val="auto"/>
        </w:rPr>
        <w:tab/>
      </w:r>
      <w:r>
        <w:rPr>
          <w:rFonts w:ascii="Times New Roman" w:cs="Times New Roman" w:eastAsia="Times New Roman" w:hAnsi="Times New Roman"/>
          <w:sz w:val="17"/>
          <w:szCs w:val="17"/>
          <w:u w:val="single" w:color="auto"/>
          <w:color w:val="0000EE"/>
        </w:rPr>
        <w:t>Depositary’s Notice of Annual General Meeting of XPeng Inc.</w:t>
      </w:r>
    </w:p>
    <w:p>
      <w:pPr>
        <w:spacing w:after="0" w:line="11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99.5</w:t>
      </w:r>
      <w:r>
        <w:rPr>
          <w:sz w:val="20"/>
          <w:szCs w:val="20"/>
          <w:color w:val="auto"/>
        </w:rPr>
        <w:tab/>
      </w:r>
      <w:r>
        <w:rPr>
          <w:rFonts w:ascii="Times New Roman" w:cs="Times New Roman" w:eastAsia="Times New Roman" w:hAnsi="Times New Roman"/>
          <w:sz w:val="17"/>
          <w:szCs w:val="17"/>
          <w:u w:val="single" w:color="auto"/>
          <w:color w:val="0000EE"/>
        </w:rPr>
        <w:t>Voting Card for American Depositary Shares</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Xiaopeng He</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ectPr>
          <w:pgSz w:w="11900" w:h="16838" w:orient="portrait"/>
          <w:cols w:equalWidth="0" w:num="1">
            <w:col w:w="11020"/>
          </w:cols>
          <w:pgMar w:left="440" w:top="266" w:right="439" w:bottom="1440" w:gutter="0" w:footer="0" w:header="0"/>
        </w:sectPr>
      </w:pPr>
    </w:p>
    <w:bookmarkStart w:id="3" w:name="page4"/>
    <w:bookmarkEnd w:id="3"/>
    <w:p>
      <w:pPr>
        <w:ind w:left="10084"/>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jc w:val="both"/>
        <w:ind w:left="4" w:right="10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140335</wp:posOffset>
            </wp:positionV>
            <wp:extent cx="1337310"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3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31" w:lineRule="exact"/>
        <w:rPr>
          <w:sz w:val="20"/>
          <w:szCs w:val="20"/>
          <w:color w:val="auto"/>
        </w:rPr>
      </w:pPr>
    </w:p>
    <w:p>
      <w:pPr>
        <w:jc w:val="center"/>
        <w:ind w:right="-3"/>
        <w:spacing w:after="0" w:line="207" w:lineRule="exact"/>
        <w:rPr>
          <w:sz w:val="20"/>
          <w:szCs w:val="20"/>
          <w:color w:val="auto"/>
        </w:rPr>
      </w:pPr>
      <w:r>
        <w:rPr>
          <w:rFonts w:ascii="PMingLiU" w:cs="PMingLiU" w:eastAsia="PMingLiU" w:hAnsi="PMingLiU"/>
          <w:sz w:val="16"/>
          <w:szCs w:val="16"/>
          <w:color w:val="auto"/>
          <w:highlight w:val="black"/>
        </w:rPr>
        <w:t>小鵬集團</w:t>
      </w:r>
      <w:r>
        <w:rPr>
          <w:rFonts w:ascii="Times New Roman" w:cs="Times New Roman" w:eastAsia="Times New Roman" w:hAnsi="Times New Roman"/>
          <w:sz w:val="18"/>
          <w:szCs w:val="18"/>
          <w:b w:val="1"/>
          <w:bCs w:val="1"/>
          <w:color w:val="auto"/>
        </w:rPr>
        <w:t>*</w:t>
      </w:r>
    </w:p>
    <w:p>
      <w:pPr>
        <w:spacing w:after="0" w:line="2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(NYSE Ticker: XPEV, HKEx Stock Code: 9868)</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THE ANNUAL GENERAL MEETING</w:t>
      </w:r>
    </w:p>
    <w:p>
      <w:pPr>
        <w:spacing w:after="0" w:line="225" w:lineRule="exact"/>
        <w:rPr>
          <w:sz w:val="20"/>
          <w:szCs w:val="20"/>
          <w:color w:val="auto"/>
        </w:rPr>
      </w:pPr>
    </w:p>
    <w:p>
      <w:pPr>
        <w:jc w:val="both"/>
        <w:ind w:left="4" w:right="260"/>
        <w:spacing w:after="0" w:line="268" w:lineRule="auto"/>
        <w:rPr>
          <w:sz w:val="20"/>
          <w:szCs w:val="20"/>
          <w:color w:val="auto"/>
        </w:rPr>
      </w:pPr>
      <w:r>
        <w:rPr>
          <w:rFonts w:ascii="Times New Roman" w:cs="Times New Roman" w:eastAsia="Times New Roman" w:hAnsi="Times New Roman"/>
          <w:sz w:val="18"/>
          <w:szCs w:val="18"/>
          <w:color w:val="auto"/>
        </w:rPr>
        <w:t>Enclosed is the notice of the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XPeng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which serves as the notice of the AGM required under Rule 13.71 of the Rules Governing the Listing of Securities on The Stock Exchange of Hong Kong Limited (the “</w:t>
      </w:r>
      <w:r>
        <w:rPr>
          <w:rFonts w:ascii="Times New Roman" w:cs="Times New Roman" w:eastAsia="Times New Roman" w:hAnsi="Times New Roman"/>
          <w:sz w:val="18"/>
          <w:szCs w:val="18"/>
          <w:b w:val="1"/>
          <w:bCs w:val="1"/>
          <w:color w:val="auto"/>
        </w:rPr>
        <w:t>Hong Kong 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This notice is also available for viewing on the Company’s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The AGM will be held on June 26, 2026, at 10:00 a.m. Hong Kong time, at T2, XPENG Tech Park, No. 10, Cencun Fengzhuang Avenue, Tianhe District, Guangzhou, PRC for the purpose of considering and, if thought fit, passing the following resolutions: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ORDINARY RESOLUTIONS</w:t>
      </w:r>
    </w:p>
    <w:p>
      <w:pPr>
        <w:spacing w:after="0" w:line="131" w:lineRule="exact"/>
        <w:rPr>
          <w:sz w:val="20"/>
          <w:szCs w:val="20"/>
          <w:color w:val="auto"/>
        </w:rPr>
      </w:pPr>
    </w:p>
    <w:p>
      <w:pPr>
        <w:ind w:left="424" w:right="380" w:hanging="424"/>
        <w:spacing w:after="0" w:line="28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adopt the audited consolidated financial statements of the Company and the reports of the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and the auditor of the Company as of and for the year ended December 31, 2025.</w:t>
      </w:r>
    </w:p>
    <w:p>
      <w:pPr>
        <w:spacing w:after="0" w:line="6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Mr. Donghao Yang as an independent non-executive Director.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Mr. HongJiang Zhang as an independent non-executive Director.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Mr. Yudong Chen as an independent non-executive Director.</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to fix the respective Directors’ remuneration.</w:t>
      </w:r>
    </w:p>
    <w:p>
      <w:pPr>
        <w:spacing w:after="0" w:line="134"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PricewaterhouseCoopers and PricewaterhouseCoopers Zhong Tian LLP as auditors of the Company to hold office until the conclusion of the next annual general meeting of the Company and to authorize the Board to fix their remunerations for the year ending December 31, 2026.</w:t>
      </w:r>
    </w:p>
    <w:p>
      <w:pPr>
        <w:spacing w:after="0" w:line="81" w:lineRule="exact"/>
        <w:rPr>
          <w:rFonts w:ascii="Times New Roman" w:cs="Times New Roman" w:eastAsia="Times New Roman" w:hAnsi="Times New Roman"/>
          <w:sz w:val="18"/>
          <w:szCs w:val="18"/>
          <w:color w:val="auto"/>
        </w:rPr>
      </w:pPr>
    </w:p>
    <w:p>
      <w:pPr>
        <w:ind w:left="444" w:right="8780" w:hanging="444"/>
        <w:spacing w:after="0" w:line="383" w:lineRule="auto"/>
        <w:tabs>
          <w:tab w:leader="none" w:pos="4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w:t>
      </w: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w:t>
      </w:r>
    </w:p>
    <w:p>
      <w:pPr>
        <w:ind w:left="964" w:right="40" w:hanging="532"/>
        <w:spacing w:after="0" w:line="255"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a general unconditional mandate be and is hereby given to the Directors during the Relevant Period (as defined in paragraph (d) below) to exercise all the powers of the Company to allot, issue, and deal with 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options and awards (including any warrants, bonds, notes, and debentures conferring any rights to subscribe for or otherwise receive Class A Ordinary Shares) that would or might require the exercise of such powers;</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024"/>
          </w:cols>
          <w:pgMar w:left="436" w:top="117" w:right="439" w:bottom="1440" w:gutter="0" w:footer="0" w:header="0"/>
        </w:sectPr>
      </w:pPr>
    </w:p>
    <w:bookmarkStart w:id="4" w:name="page5"/>
    <w:bookmarkEnd w:id="4"/>
    <w:p>
      <w:pPr>
        <w:ind w:left="540" w:hanging="532"/>
        <w:spacing w:after="0" w:line="266"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mandate in paragraph (a) above shall be in addition to any other authorization given to the Directors and shall authorize the Directors to make or grant offers, agreements, options and awards during the Relevant Period that would or might require the exercise of such powers after the end of the Relevant Period;</w:t>
      </w:r>
    </w:p>
    <w:p>
      <w:pPr>
        <w:spacing w:after="0" w:line="81" w:lineRule="exact"/>
        <w:rPr>
          <w:rFonts w:ascii="Times New Roman" w:cs="Times New Roman" w:eastAsia="Times New Roman" w:hAnsi="Times New Roman"/>
          <w:sz w:val="18"/>
          <w:szCs w:val="18"/>
          <w:color w:val="auto"/>
        </w:rPr>
      </w:pPr>
    </w:p>
    <w:p>
      <w:pPr>
        <w:ind w:left="540" w:right="40" w:hanging="532"/>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Class A Ordinary Shares allotted or agreed conditionally or unconditionally to be allotted and issued (whether pursuant to options or otherwise) in paragraph (a) above, otherwise than pursuant to:</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Issue (as defined in paragraph (d) below);</w:t>
      </w:r>
    </w:p>
    <w:p>
      <w:pPr>
        <w:spacing w:after="0" w:line="130" w:lineRule="exact"/>
        <w:rPr>
          <w:rFonts w:ascii="Times New Roman" w:cs="Times New Roman" w:eastAsia="Times New Roman" w:hAnsi="Times New Roman"/>
          <w:sz w:val="18"/>
          <w:szCs w:val="18"/>
          <w:color w:val="auto"/>
        </w:rPr>
      </w:pPr>
    </w:p>
    <w:p>
      <w:pPr>
        <w:ind w:left="1000" w:right="60" w:hanging="439"/>
        <w:spacing w:after="0" w:line="261"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of shares under any share option scheme of the Company or any other option, scheme or similar arrangements for the time being adopted for the grant or issue to the directors, officers and/or employee of the Company and/or any of its subsidiaries and/or other eligible participants specified thereunder of options to subscribe for Class A Ordinary Shares or rights to acquire Class A Ordinary Shares;</w:t>
      </w:r>
    </w:p>
    <w:p>
      <w:pPr>
        <w:spacing w:after="0" w:line="85" w:lineRule="exact"/>
        <w:rPr>
          <w:rFonts w:ascii="Times New Roman" w:cs="Times New Roman" w:eastAsia="Times New Roman" w:hAnsi="Times New Roman"/>
          <w:sz w:val="18"/>
          <w:szCs w:val="18"/>
          <w:color w:val="auto"/>
        </w:rPr>
      </w:pPr>
    </w:p>
    <w:p>
      <w:pPr>
        <w:ind w:left="1000" w:right="160" w:hanging="439"/>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any awards granted or to be granted pursuant to the 2019 Equity Incentive Plan, the 2025 Share Incentive Scheme or any other share schemes or plans of the Company (where applicable);</w:t>
      </w:r>
    </w:p>
    <w:p>
      <w:pPr>
        <w:spacing w:after="0" w:line="67" w:lineRule="exact"/>
        <w:rPr>
          <w:rFonts w:ascii="Times New Roman" w:cs="Times New Roman" w:eastAsia="Times New Roman" w:hAnsi="Times New Roman"/>
          <w:sz w:val="18"/>
          <w:szCs w:val="18"/>
          <w:color w:val="auto"/>
        </w:rPr>
      </w:pPr>
    </w:p>
    <w:p>
      <w:pPr>
        <w:ind w:left="1000" w:right="20" w:hanging="439"/>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scrip dividend or similar arrangement providing for the allotment and issue of shares of the Company in lieu of the whole or part of a dividend on shares of the Company in accordance with the articles of association of the Company; and</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specific authority granted by the shareholders of the Company in general meeting,</w:t>
      </w:r>
    </w:p>
    <w:p>
      <w:pPr>
        <w:spacing w:after="0" w:line="117"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shall not exceed 20% of the total number of issued shares (including the Class A Ordinary Shares and the Class B Ordinary Shares and excluding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85"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w:t>
      </w:r>
    </w:p>
    <w:p>
      <w:pPr>
        <w:spacing w:after="0" w:line="11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the period from the passing of this resolution until the earliest of:</w:t>
      </w:r>
    </w:p>
    <w:p>
      <w:pPr>
        <w:spacing w:after="0" w:line="134"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w:t>
      </w:r>
    </w:p>
    <w:p>
      <w:pPr>
        <w:spacing w:after="0" w:line="130" w:lineRule="exact"/>
        <w:rPr>
          <w:rFonts w:ascii="Times New Roman" w:cs="Times New Roman" w:eastAsia="Times New Roman" w:hAnsi="Times New Roman"/>
          <w:sz w:val="18"/>
          <w:szCs w:val="18"/>
          <w:color w:val="auto"/>
        </w:rPr>
      </w:pPr>
    </w:p>
    <w:p>
      <w:pPr>
        <w:ind w:left="1000" w:right="280" w:hanging="439"/>
        <w:spacing w:after="0" w:line="282"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of the Company is required to be held by the articles of association of the Company or any applicable laws and regulations; and</w:t>
      </w:r>
    </w:p>
    <w:p>
      <w:pPr>
        <w:spacing w:after="0" w:line="67" w:lineRule="exact"/>
        <w:rPr>
          <w:rFonts w:ascii="Times New Roman" w:cs="Times New Roman" w:eastAsia="Times New Roman" w:hAnsi="Times New Roman"/>
          <w:sz w:val="18"/>
          <w:szCs w:val="18"/>
          <w:color w:val="auto"/>
        </w:rPr>
      </w:pPr>
    </w:p>
    <w:p>
      <w:pPr>
        <w:ind w:left="1000" w:right="60" w:hanging="439"/>
        <w:spacing w:after="0" w:line="282"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authority set out in this resolution is revoked or varied by an ordinary resolution of the shareholders in general meeting;</w:t>
      </w:r>
    </w:p>
    <w:p>
      <w:pPr>
        <w:spacing w:after="0" w:line="50"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Issue</w:t>
      </w:r>
      <w:r>
        <w:rPr>
          <w:rFonts w:ascii="Times New Roman" w:cs="Times New Roman" w:eastAsia="Times New Roman" w:hAnsi="Times New Roman"/>
          <w:sz w:val="18"/>
          <w:szCs w:val="18"/>
          <w:color w:val="auto"/>
        </w:rPr>
        <w:t>” means an offer of shares of the Company, or an offer or issue of warrants, options or other securities giving rights to subscribe for shares of the Company, open for a period fixed by the Directors to holders of shares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580"/>
          </w:cols>
          <w:pgMar w:left="860" w:top="270" w:right="459" w:bottom="1440" w:gutter="0" w:footer="0" w:header="0"/>
        </w:sectPr>
      </w:pPr>
    </w:p>
    <w:bookmarkStart w:id="5" w:name="page6"/>
    <w:bookmarkEnd w:id="5"/>
    <w:p>
      <w:pPr>
        <w:ind w:left="98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reference to an allotment, issue, grant, offer or disposal of Class A Ordinary Shares shall include the sale or transfer of treasury shares in the capital of the Company (including to satisfy any obligation upon the conversion or exercise of any convertible securities, options, warrants or similar rights to subscribe for Class A Ordinary Shares), to the extent permitted by, and subject to the provisions of the Hong Kong Listing Rules and applicable laws and regulations.”</w:t>
      </w:r>
    </w:p>
    <w:p>
      <w:pPr>
        <w:spacing w:after="0" w:line="85" w:lineRule="exact"/>
        <w:rPr>
          <w:sz w:val="20"/>
          <w:szCs w:val="20"/>
          <w:color w:val="auto"/>
        </w:rPr>
      </w:pPr>
    </w:p>
    <w:p>
      <w:pPr>
        <w:ind w:left="444" w:right="8760" w:hanging="444"/>
        <w:spacing w:after="0" w:line="383"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w:t>
      </w:r>
      <w:r>
        <w:rPr>
          <w:rFonts w:ascii="Times New Roman" w:cs="Times New Roman" w:eastAsia="Times New Roman" w:hAnsi="Times New Roman"/>
          <w:sz w:val="18"/>
          <w:szCs w:val="18"/>
          <w:b w:val="1"/>
          <w:bCs w:val="1"/>
          <w:color w:val="auto"/>
        </w:rPr>
        <w:t>THAT</w:t>
      </w:r>
    </w:p>
    <w:p>
      <w:pPr>
        <w:ind w:left="964" w:right="80" w:hanging="532"/>
        <w:spacing w:after="0" w:line="254"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unconditional mandate be and is hereby given to the Directors during the Relevant Period (as defined in paragraph (b) below) to exercise all the powers of the Company to purchase its own shares and/or ADSs on the Hong Kong Stock Exchange or on any other stock exchange on which the securities of the Company are or may be listed and which is recognized by the Securities and Futures Commission of Hong Kong and the Hong Kong Stock Exchange for this purpose, provided that the total number of shares of the Company which may be purchased pursuant to this mandate shall not exceed 10% of the total number of the issued shares (including the Class A Ordinary Shares and the Class B Ordinary Shares and excluding treasury shares) of the Company as of the date of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9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the period from the passing of this resolution until the earliest of:</w:t>
      </w:r>
    </w:p>
    <w:p>
      <w:pPr>
        <w:spacing w:after="0" w:line="13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w:t>
      </w:r>
    </w:p>
    <w:p>
      <w:pPr>
        <w:spacing w:after="0" w:line="130" w:lineRule="exact"/>
        <w:rPr>
          <w:rFonts w:ascii="Times New Roman" w:cs="Times New Roman" w:eastAsia="Times New Roman" w:hAnsi="Times New Roman"/>
          <w:sz w:val="18"/>
          <w:szCs w:val="18"/>
          <w:color w:val="auto"/>
        </w:rPr>
      </w:pPr>
    </w:p>
    <w:p>
      <w:pPr>
        <w:ind w:left="1424" w:right="280" w:hanging="439"/>
        <w:spacing w:after="0" w:line="282" w:lineRule="auto"/>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of the Company is required to be held by the articles of association of the Company or any applicable laws and regulations; and</w:t>
      </w:r>
    </w:p>
    <w:p>
      <w:pPr>
        <w:spacing w:after="0" w:line="67" w:lineRule="exact"/>
        <w:rPr>
          <w:rFonts w:ascii="Times New Roman" w:cs="Times New Roman" w:eastAsia="Times New Roman" w:hAnsi="Times New Roman"/>
          <w:sz w:val="18"/>
          <w:szCs w:val="18"/>
          <w:color w:val="auto"/>
        </w:rPr>
      </w:pPr>
    </w:p>
    <w:p>
      <w:pPr>
        <w:ind w:left="1424" w:right="360" w:hanging="439"/>
        <w:spacing w:after="0" w:line="282" w:lineRule="auto"/>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authority set out in this resolution is revoked or varied by an ordinary resolution of the shareholders of the Company in general meeting.”</w:t>
      </w:r>
    </w:p>
    <w:p>
      <w:pPr>
        <w:spacing w:after="0" w:line="67"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approve that conditional upon the passing of resolutions set out in items 7 and 8, the general mandate referred to in the resolution set out in item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be and is hereby extended by the addition to the aggregate number of shares that may be allotted and issued or agreed conditionally or unconditionally to be allotted and issued by the Directors pursuant to such general mandate of the number of shares and/or share underlying the ADSs repurchased by the Company pursuant to the mandate referred to in the resolution set out in item 8, provided that such amount shall not exceed 10% of the total number of the issued shares (including the Class A Ordinary Shares and the Class B Ordinary Shares and excluding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SPECIAL RESOLUTION</w:t>
      </w:r>
    </w:p>
    <w:p>
      <w:pPr>
        <w:spacing w:after="0" w:line="135" w:lineRule="exact"/>
        <w:rPr>
          <w:sz w:val="20"/>
          <w:szCs w:val="20"/>
          <w:color w:val="auto"/>
        </w:rPr>
      </w:pPr>
    </w:p>
    <w:p>
      <w:pPr>
        <w:ind w:left="424" w:right="6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the proposed amendments to the memorandum and articles of association of the Company and the adoption of the tenth amended and restated memorandum and articles of association of the Company as detailed in the proxy statement/circular dated May 11, 2026 to replace the ninth amended and restated memorandum and articles of association of the Company adopted by special resolution passed on June 20, 2023 in its entirety.</w:t>
      </w:r>
    </w:p>
    <w:p>
      <w:pPr>
        <w:spacing w:after="0" w:line="11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ORDINARY SHARES RECORD DATE AND ADS RECORD DATE</w:t>
      </w:r>
    </w:p>
    <w:p>
      <w:pPr>
        <w:spacing w:after="0" w:line="11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Board has fixed the close of business on May 14, 2026, Hong Kong time, as the record date (the “</w:t>
      </w:r>
      <w:r>
        <w:rPr>
          <w:rFonts w:ascii="Times New Roman" w:cs="Times New Roman" w:eastAsia="Times New Roman" w:hAnsi="Times New Roman"/>
          <w:sz w:val="18"/>
          <w:szCs w:val="18"/>
          <w:b w:val="1"/>
          <w:bCs w:val="1"/>
          <w:color w:val="auto"/>
        </w:rPr>
        <w:t>Shares Record Date</w:t>
      </w:r>
      <w:r>
        <w:rPr>
          <w:rFonts w:ascii="Times New Roman" w:cs="Times New Roman" w:eastAsia="Times New Roman" w:hAnsi="Times New Roman"/>
          <w:sz w:val="18"/>
          <w:szCs w:val="18"/>
          <w:color w:val="auto"/>
        </w:rPr>
        <w:t>”) of Class A Ordinary Shares and/or Class B Ordinary Shares of the Company, each with a par value US$0.00001 per share. Holders of record of the Company’s Class A Ordinary Shares and/or Class B Ordinary Shares as of the Shares Record Date are entitled to attend and vote at the AGM and any adjourned meeting thereof.</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be eligible to vote and attend this AGM, persons who hold the Company’s Class A Ordinary Shares and/or Class B Ordinary Shares directly on our Cayman Islands register of members should ensure that all valid transfer documents, accompanied by the relevant share certificates, are lodged with our principal share registrar in Cayman Islands, Ascentium (Cayman) Limited, at 4th Floor, Harbour Place, 103 South Church Street, P.O. Box 10240, Grand Cayman KY1-1002, Cayman Islands, before 4:30 p.m., Hong Kong time, on May 14, 2026; and persons who hold the Company’s Class A Ordinary Shares directly on our Hong Kong register of members should ensure that all valid transfer documents, accompanied by the relevant share certificates, are lodged with our branch share registrar in Hong Kong, Tricor Investor Services Limited, at 17/F, Far East Finance Centre, 16 Harcourt Road, Hong Kong, within the same period (i.e. before 4:30 p.m., Hong Kong time, on May 14, 2026).</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Holders of record of ADSs as of the close of business on May 14, 2026, New York time (the “</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 who wish to exercise their voting rights for the underlying Class A Ordinary Shares must give voting instructions to Citibank, N.A., the depositary of the ADSs.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Only holders of record of Class A Ordinary Shares and/or Class B Ordinary Shares as of the Shares Record Date are entitled to attend and vote at the AGM. Please note that holders of ADSs are not entitled to attend the AGM. Any ADS holder who appears at the venue of the AGM will not be allowed to attend the AGM. Any ADS holder that wishes to attend the AGM or vote directly must cancel their ADS(s) in exchange for Class A Ordinary Shares and will need to make arrangements to deliver their ADS(s) to Citibank, N.A., as depositary of the ADS(s), for cancellation with sufficient time to allow for the delivery and exchange of them for the underlying Class A Ordinary Shares before the Shares Record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encourage shareholders planning to attend the AGM in person to pre-register by sending an email to gm@x-peng.cn.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officers and agents of the Company reserve the right to refuse any person entry to the AGM, or to instruct any person to leave the AGM, where such officer or agent reasonably considers that such refusal or instruction is or may be required for the Company to be able to comply with applicable laws and regulations. The exercise of such right to refuse entry or instruct to leave shall not invalidate the proceedings at the AGM.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FORMS AND ADS VOTING CARDS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holder of Class A Ordinary Shares and/or Class B Ordinary Shares as of the Shares Record Date may appoint proxy(ies) to exercise his or her rights at the AGM. A holder of ADSs as of the ADS Record Date will need to instruct Citibank, N.A., the depositary of the ADSs, as to how to vote the Class A Ordinary Shares represented by the ADSs. Please refer to the proxy form (for holders of Class A Ordinary Shares and/or Class B Ordinary Shares) or ADS voting card (for holders of ADSs) (the “</w:t>
      </w:r>
      <w:r>
        <w:rPr>
          <w:rFonts w:ascii="Times New Roman" w:cs="Times New Roman" w:eastAsia="Times New Roman" w:hAnsi="Times New Roman"/>
          <w:sz w:val="18"/>
          <w:szCs w:val="18"/>
          <w:b w:val="1"/>
          <w:bCs w:val="1"/>
          <w:color w:val="auto"/>
        </w:rPr>
        <w:t>ADS Voting Card</w:t>
      </w:r>
      <w:r>
        <w:rPr>
          <w:rFonts w:ascii="Times New Roman" w:cs="Times New Roman" w:eastAsia="Times New Roman" w:hAnsi="Times New Roman"/>
          <w:sz w:val="18"/>
          <w:szCs w:val="18"/>
          <w:color w:val="auto"/>
        </w:rPr>
        <w:t xml:space="preserve">”) and the proxy statement/circular for further details and instructions. The proxy statement/circular and the proxy form are available for viewing on our website at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 xml:space="preserve"> and the website of the Hong Kong Stock Exchange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0"/>
          </w:cols>
          <w:pgMar w:left="440" w:top="266"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REPORT</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Shareholders may obtain a copy of the Company’s annual report on Form 20-F and/or the Hong Kong annual report, free of charge, from the Company’s website at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 xml:space="preserve">, on the website of the U.S. Securities and Exchange Commission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color w:val="auto"/>
        </w:rPr>
        <w:t xml:space="preserve"> and on the website of the Hong Kong Stock Exchange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 or by contacting our Investor Relations department at T2, XPENG Tech Park, No. 10, Cencun Fengzhuang Avenue, Tianhe District, Guangzhou, PRC.</w:t>
      </w:r>
    </w:p>
    <w:p>
      <w:pPr>
        <w:spacing w:after="0" w:line="284"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t>Holders of record of the Company’s Class A Ordinary Shares and/or Class B Ordinary Shares as of the Shares Record Date are cordially invited to attend the AGM in person. Your vote is important. You are urged to complete, sign, date and return the accompanying proxy form to us (for holders of Class A Ordinary Shares and/or Class B Ordinary Shares) or your voting instructions to Citibank, N.A. (for holders of the ADSs) as promptly as possible and before the prescribed deadline if you wish to exercise your voting rights. We must receive the proxy form by no later than 10:00 a.m., Hong Kong time, on June 24, 2026 to ensure your representation at the AGM, and Citibank, N.A. must receive your voting instructions by no later than 10:00 a.m., New York time, on June 17, 2026 to enable the votes attaching to the Class A Ordinary Shares represented by your ADSs to be cast at the AGM.</w:t>
      </w:r>
    </w:p>
    <w:p>
      <w:pPr>
        <w:spacing w:after="0" w:line="214"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3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Monday, May 11, 2026</w:t>
      </w:r>
    </w:p>
    <w:p>
      <w:pPr>
        <w:spacing w:after="0" w:line="117" w:lineRule="exact"/>
        <w:rPr>
          <w:sz w:val="20"/>
          <w:szCs w:val="20"/>
          <w:color w:val="auto"/>
        </w:rPr>
      </w:pPr>
    </w:p>
    <w:p>
      <w:pPr>
        <w:ind w:left="4" w:right="780"/>
        <w:spacing w:after="0" w:line="282" w:lineRule="auto"/>
        <w:rPr>
          <w:sz w:val="20"/>
          <w:szCs w:val="20"/>
          <w:color w:val="auto"/>
        </w:rPr>
      </w:pPr>
      <w:r>
        <w:rPr>
          <w:rFonts w:ascii="Times New Roman" w:cs="Times New Roman" w:eastAsia="Times New Roman" w:hAnsi="Times New Roman"/>
          <w:sz w:val="18"/>
          <w:szCs w:val="18"/>
          <w:color w:val="auto"/>
        </w:rPr>
        <w:t>As of the date of this notice, the Board comprises Mr. Xiaopeng He as an executive Director, Mr. Ji-Xun Foo as a non-executive Director, and Mr. Donghao Yang, Ms. Fang Qu, Mr. HongJiang Zhang and Mr. Yudong Chen as independent non-executive Directors.</w:t>
      </w:r>
    </w:p>
    <w:p>
      <w:pPr>
        <w:spacing w:after="0" w:line="187"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4"/>
          </w:cols>
          <w:pgMar w:left="436" w:top="266" w:right="479" w:bottom="1440" w:gutter="0" w:footer="0" w:header="0"/>
        </w:sectPr>
      </w:pPr>
    </w:p>
    <w:bookmarkStart w:id="8" w:name="page9"/>
    <w:bookmarkEnd w:id="8"/>
    <w:p>
      <w:pPr>
        <w:ind w:left="10084"/>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7" w:lineRule="exact"/>
        <w:rPr>
          <w:sz w:val="20"/>
          <w:szCs w:val="20"/>
          <w:color w:val="auto"/>
        </w:rPr>
      </w:pPr>
    </w:p>
    <w:p>
      <w:pPr>
        <w:jc w:val="both"/>
        <w:ind w:left="4" w:right="10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140335</wp:posOffset>
            </wp:positionV>
            <wp:extent cx="1354455" cy="72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31" w:lineRule="exact"/>
        <w:rPr>
          <w:sz w:val="20"/>
          <w:szCs w:val="20"/>
          <w:color w:val="auto"/>
        </w:rPr>
      </w:pPr>
    </w:p>
    <w:p>
      <w:pPr>
        <w:jc w:val="center"/>
        <w:ind w:right="-3"/>
        <w:spacing w:after="0" w:line="207" w:lineRule="exact"/>
        <w:rPr>
          <w:sz w:val="20"/>
          <w:szCs w:val="20"/>
          <w:color w:val="auto"/>
        </w:rPr>
      </w:pPr>
      <w:r>
        <w:rPr>
          <w:rFonts w:ascii="PMingLiU" w:cs="PMingLiU" w:eastAsia="PMingLiU" w:hAnsi="PMingLiU"/>
          <w:sz w:val="16"/>
          <w:szCs w:val="16"/>
          <w:color w:val="auto"/>
          <w:highlight w:val="black"/>
        </w:rPr>
        <w:t>小鵬集團</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(NYSE Ticker: XPEV, HKEx Stock Code: 9868)</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THE ANNUAL GENERAL MEETING</w:t>
      </w:r>
    </w:p>
    <w:p>
      <w:pPr>
        <w:spacing w:after="0" w:line="225" w:lineRule="exact"/>
        <w:rPr>
          <w:sz w:val="20"/>
          <w:szCs w:val="20"/>
          <w:color w:val="auto"/>
        </w:rPr>
      </w:pPr>
    </w:p>
    <w:p>
      <w:pPr>
        <w:jc w:val="both"/>
        <w:ind w:left="4" w:right="260"/>
        <w:spacing w:after="0" w:line="268" w:lineRule="auto"/>
        <w:rPr>
          <w:sz w:val="20"/>
          <w:szCs w:val="20"/>
          <w:color w:val="auto"/>
        </w:rPr>
      </w:pPr>
      <w:r>
        <w:rPr>
          <w:rFonts w:ascii="Times New Roman" w:cs="Times New Roman" w:eastAsia="Times New Roman" w:hAnsi="Times New Roman"/>
          <w:sz w:val="18"/>
          <w:szCs w:val="18"/>
          <w:color w:val="auto"/>
        </w:rPr>
        <w:t>Enclosed is the notice of the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XPeng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which serves as the notice of the AGM required under Rule 13.71 of the Rules Governing the Listing of Securities on The Stock Exchange of Hong Kong Limited (the “</w:t>
      </w:r>
      <w:r>
        <w:rPr>
          <w:rFonts w:ascii="Times New Roman" w:cs="Times New Roman" w:eastAsia="Times New Roman" w:hAnsi="Times New Roman"/>
          <w:sz w:val="18"/>
          <w:szCs w:val="18"/>
          <w:b w:val="1"/>
          <w:bCs w:val="1"/>
          <w:color w:val="auto"/>
        </w:rPr>
        <w:t>Hong Kong 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This notice is also available for viewing on the Company’s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The AGM will be held on June 26, 2026, at 10:00 a.m. Hong Kong time, at T2, XPENG Tech Park, No. 10, Cencun Fengzhuang Avenue, Tianhe District, Guangzhou, PRC for the purpose of considering and, if thought fit, passing the following resolutions: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ORDINARY RESOLUTIONS</w:t>
      </w:r>
    </w:p>
    <w:p>
      <w:pPr>
        <w:spacing w:after="0" w:line="252" w:lineRule="exact"/>
        <w:rPr>
          <w:sz w:val="20"/>
          <w:szCs w:val="20"/>
          <w:color w:val="auto"/>
        </w:rPr>
      </w:pPr>
    </w:p>
    <w:p>
      <w:pPr>
        <w:ind w:left="424" w:right="380" w:hanging="424"/>
        <w:spacing w:after="0" w:line="28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adopt the audited consolidated financial statements of the Company and the reports of the directors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and the auditor of the Company as of and for the year ended December 31, 2025.</w:t>
      </w:r>
    </w:p>
    <w:p>
      <w:pPr>
        <w:spacing w:after="0" w:line="6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Mr. Donghao Yang as an independent non-executive Director.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Mr. HongJiang Zhang as an independent non-executive Director.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Mr. Yudong Chen as an independent non-executive Director.</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to fix the respective Directors’ remuneration.</w:t>
      </w:r>
    </w:p>
    <w:p>
      <w:pPr>
        <w:spacing w:after="0" w:line="134"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PricewaterhouseCoopers and PricewaterhouseCoopers Zhong Tian LLP as auditors of the Company to hold office until the conclusion of the next annual general meeting of the Company and to authorize the Board to fix their remunerations for the year ending December 31, 2026.</w:t>
      </w:r>
    </w:p>
    <w:p>
      <w:pPr>
        <w:spacing w:after="0" w:line="81" w:lineRule="exact"/>
        <w:rPr>
          <w:rFonts w:ascii="Times New Roman" w:cs="Times New Roman" w:eastAsia="Times New Roman" w:hAnsi="Times New Roman"/>
          <w:sz w:val="18"/>
          <w:szCs w:val="18"/>
          <w:color w:val="auto"/>
        </w:rPr>
      </w:pPr>
    </w:p>
    <w:p>
      <w:pPr>
        <w:ind w:left="444" w:right="8780" w:hanging="444"/>
        <w:spacing w:after="0" w:line="383" w:lineRule="auto"/>
        <w:tabs>
          <w:tab w:leader="none" w:pos="4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w:t>
      </w: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w:t>
      </w:r>
    </w:p>
    <w:p>
      <w:pPr>
        <w:ind w:left="964" w:right="40" w:hanging="532"/>
        <w:spacing w:after="0" w:line="255"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a general unconditional mandate be and is hereby given to the Directors during the Relevant Period (as defined in paragraph (d) below) to exercise all the powers of the Company to allot, issue, and deal with 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options and awards (including any warrants, bonds, notes, and debentures conferring any rights to subscribe for or otherwise receive Class A Ordinary Shares) that would or might require the exercise of such powers;</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024"/>
          </w:cols>
          <w:pgMar w:left="436" w:top="117" w:right="439" w:bottom="1440" w:gutter="0" w:footer="0" w:header="0"/>
        </w:sectPr>
      </w:pPr>
    </w:p>
    <w:bookmarkStart w:id="9" w:name="page10"/>
    <w:bookmarkEnd w:id="9"/>
    <w:p>
      <w:pPr>
        <w:ind w:left="540" w:hanging="532"/>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mandate in paragraph (a) above shall be in addition to any other authorization given to the Directors and shall authorize the Directors to make or grant offers, agreements, options and awards during the Relevant Period that would or might require the exercise of such powers after the end of the Relevant Period;</w:t>
      </w:r>
    </w:p>
    <w:p>
      <w:pPr>
        <w:spacing w:after="0" w:line="81" w:lineRule="exact"/>
        <w:rPr>
          <w:rFonts w:ascii="Times New Roman" w:cs="Times New Roman" w:eastAsia="Times New Roman" w:hAnsi="Times New Roman"/>
          <w:sz w:val="18"/>
          <w:szCs w:val="18"/>
          <w:color w:val="auto"/>
        </w:rPr>
      </w:pPr>
    </w:p>
    <w:p>
      <w:pPr>
        <w:ind w:left="540" w:right="40" w:hanging="532"/>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Class A Ordinary Shares allotted or agreed conditionally or unconditionally to be allotted and issued (whether pursuant to options or otherwise) in paragraph (a) above, otherwise than pursuant to:</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Issue (as defined in paragraph (d) below);</w:t>
      </w:r>
    </w:p>
    <w:p>
      <w:pPr>
        <w:spacing w:after="0" w:line="130" w:lineRule="exact"/>
        <w:rPr>
          <w:rFonts w:ascii="Times New Roman" w:cs="Times New Roman" w:eastAsia="Times New Roman" w:hAnsi="Times New Roman"/>
          <w:sz w:val="18"/>
          <w:szCs w:val="18"/>
          <w:color w:val="auto"/>
        </w:rPr>
      </w:pPr>
    </w:p>
    <w:p>
      <w:pPr>
        <w:ind w:left="1000" w:right="60" w:hanging="439"/>
        <w:spacing w:after="0" w:line="261"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of shares under any share option scheme of the Company or any other option, scheme or similar arrangements for the time being adopted for the grant or issue to the directors, officers and/or employee of the Company and/or any of its subsidiaries and/or other eligible participants specified thereunder of options to subscribe for Class A Ordinary Shares or rights to acquire Class A Ordinary Shares;</w:t>
      </w:r>
    </w:p>
    <w:p>
      <w:pPr>
        <w:spacing w:after="0" w:line="85" w:lineRule="exact"/>
        <w:rPr>
          <w:rFonts w:ascii="Times New Roman" w:cs="Times New Roman" w:eastAsia="Times New Roman" w:hAnsi="Times New Roman"/>
          <w:sz w:val="18"/>
          <w:szCs w:val="18"/>
          <w:color w:val="auto"/>
        </w:rPr>
      </w:pPr>
    </w:p>
    <w:p>
      <w:pPr>
        <w:ind w:left="1000" w:right="160" w:hanging="43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any awards granted or to be granted pursuant to the 2019 Equity Incentive Plan, the 2025 Share Incentive Scheme or any other share schemes or plans of the Company (where applicable);</w:t>
      </w:r>
    </w:p>
    <w:p>
      <w:pPr>
        <w:spacing w:after="0" w:line="67" w:lineRule="exact"/>
        <w:rPr>
          <w:rFonts w:ascii="Times New Roman" w:cs="Times New Roman" w:eastAsia="Times New Roman" w:hAnsi="Times New Roman"/>
          <w:sz w:val="18"/>
          <w:szCs w:val="18"/>
          <w:color w:val="auto"/>
        </w:rPr>
      </w:pPr>
    </w:p>
    <w:p>
      <w:pPr>
        <w:ind w:left="1000" w:right="20" w:hanging="43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scrip dividend or similar arrangement providing for the allotment and issue of shares of the Company in lieu of the whole or part of a dividend on shares of the Company in accordance with the articles of association of the Company; and</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specific authority granted by the shareholders of the Company in general meeting,</w:t>
      </w:r>
    </w:p>
    <w:p>
      <w:pPr>
        <w:spacing w:after="0" w:line="117"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shall not exceed 20% of the total number of issued shares (including the Class A Ordinary Shares and the Class B Ordinary Shares and excluding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85"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w:t>
      </w:r>
    </w:p>
    <w:p>
      <w:pPr>
        <w:spacing w:after="0" w:line="11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the period from the passing of this resolution until the earliest of:</w:t>
      </w:r>
    </w:p>
    <w:p>
      <w:pPr>
        <w:spacing w:after="0" w:line="134"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w:t>
      </w:r>
    </w:p>
    <w:p>
      <w:pPr>
        <w:spacing w:after="0" w:line="130" w:lineRule="exact"/>
        <w:rPr>
          <w:rFonts w:ascii="Times New Roman" w:cs="Times New Roman" w:eastAsia="Times New Roman" w:hAnsi="Times New Roman"/>
          <w:sz w:val="18"/>
          <w:szCs w:val="18"/>
          <w:color w:val="auto"/>
        </w:rPr>
      </w:pPr>
    </w:p>
    <w:p>
      <w:pPr>
        <w:ind w:left="1000" w:right="280" w:hanging="439"/>
        <w:spacing w:after="0" w:line="282"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of the Company is required to be held by the articles of association of the Company or any applicable laws and regulations; and</w:t>
      </w:r>
    </w:p>
    <w:p>
      <w:pPr>
        <w:spacing w:after="0" w:line="67" w:lineRule="exact"/>
        <w:rPr>
          <w:rFonts w:ascii="Times New Roman" w:cs="Times New Roman" w:eastAsia="Times New Roman" w:hAnsi="Times New Roman"/>
          <w:sz w:val="18"/>
          <w:szCs w:val="18"/>
          <w:color w:val="auto"/>
        </w:rPr>
      </w:pPr>
    </w:p>
    <w:p>
      <w:pPr>
        <w:ind w:left="1000" w:right="60" w:hanging="439"/>
        <w:spacing w:after="0" w:line="282"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authority set out in this resolution is revoked or varied by an ordinary resolution of the shareholders in general meeting;</w:t>
      </w:r>
    </w:p>
    <w:p>
      <w:pPr>
        <w:spacing w:after="0" w:line="50"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Issue</w:t>
      </w:r>
      <w:r>
        <w:rPr>
          <w:rFonts w:ascii="Times New Roman" w:cs="Times New Roman" w:eastAsia="Times New Roman" w:hAnsi="Times New Roman"/>
          <w:sz w:val="18"/>
          <w:szCs w:val="18"/>
          <w:color w:val="auto"/>
        </w:rPr>
        <w:t>” means an offer of shares of the Company, or an offer or issue of warrants, options or other securities giving rights to subscribe for shares of the Company, open for a period fixed by the Directors to holders of shares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580"/>
          </w:cols>
          <w:pgMar w:left="860" w:top="270" w:right="459" w:bottom="1440" w:gutter="0" w:footer="0" w:header="0"/>
        </w:sectPr>
      </w:pPr>
    </w:p>
    <w:bookmarkStart w:id="10" w:name="page11"/>
    <w:bookmarkEnd w:id="10"/>
    <w:p>
      <w:pPr>
        <w:ind w:left="98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reference to an allotment, issue, grant, offer or disposal of Class A Ordinary Shares shall include the sale or transfer of treasury shares in the capital of the Company (including to satisfy any obligation upon the conversion or exercise of any convertible securities, options, warrants or similar rights to subscribe for Class A Ordinary Shares), to the extent permitted by, and subject to the provisions of the Hong Kong Listing Rules and applicable laws and regulations.”</w:t>
      </w:r>
    </w:p>
    <w:p>
      <w:pPr>
        <w:spacing w:after="0" w:line="85" w:lineRule="exact"/>
        <w:rPr>
          <w:sz w:val="20"/>
          <w:szCs w:val="20"/>
          <w:color w:val="auto"/>
        </w:rPr>
      </w:pPr>
    </w:p>
    <w:p>
      <w:pPr>
        <w:ind w:left="444" w:right="8760" w:hanging="444"/>
        <w:spacing w:after="0" w:line="383" w:lineRule="auto"/>
        <w:tabs>
          <w:tab w:leader="none" w:pos="4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w:t>
      </w:r>
      <w:r>
        <w:rPr>
          <w:rFonts w:ascii="Times New Roman" w:cs="Times New Roman" w:eastAsia="Times New Roman" w:hAnsi="Times New Roman"/>
          <w:sz w:val="18"/>
          <w:szCs w:val="18"/>
          <w:b w:val="1"/>
          <w:bCs w:val="1"/>
          <w:color w:val="auto"/>
        </w:rPr>
        <w:t>THAT</w:t>
      </w:r>
    </w:p>
    <w:p>
      <w:pPr>
        <w:ind w:left="964" w:right="80" w:hanging="532"/>
        <w:spacing w:after="0" w:line="254"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unconditional mandate be and is hereby given to the Directors during the Relevant Period (as defined in paragraph (b) below) to exercise all the powers of the Company to purchase its own shares and/or ADSs on the Hong Kong Stock Exchange or on any other stock exchange on which the securities of the Company are or may be listed and which is recognized by the Securities and Futures Commission of Hong Kong and the Hong Kong Stock Exchange for this purpose, provided that the total number of shares of the Company which may be purchased pursuant to this mandate shall not exceed 10% of the total number of the issued shares (including the Class A Ordinary Shares and the Class B Ordinary Shares and excluding treasury shares) of the Company as of the date of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9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resolution:</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the period from the passing of this resolution until the earliest of:</w:t>
      </w:r>
    </w:p>
    <w:p>
      <w:pPr>
        <w:spacing w:after="0" w:line="13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w:t>
      </w:r>
    </w:p>
    <w:p>
      <w:pPr>
        <w:spacing w:after="0" w:line="130" w:lineRule="exact"/>
        <w:rPr>
          <w:rFonts w:ascii="Times New Roman" w:cs="Times New Roman" w:eastAsia="Times New Roman" w:hAnsi="Times New Roman"/>
          <w:sz w:val="18"/>
          <w:szCs w:val="18"/>
          <w:color w:val="auto"/>
        </w:rPr>
      </w:pPr>
    </w:p>
    <w:p>
      <w:pPr>
        <w:ind w:left="1424" w:right="280" w:hanging="439"/>
        <w:spacing w:after="0" w:line="282" w:lineRule="auto"/>
        <w:tabs>
          <w:tab w:leader="none" w:pos="142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of the Company is required to be held by the articles of association of the Company or any applicable laws and regulations; and</w:t>
      </w:r>
    </w:p>
    <w:p>
      <w:pPr>
        <w:spacing w:after="0" w:line="67" w:lineRule="exact"/>
        <w:rPr>
          <w:rFonts w:ascii="Times New Roman" w:cs="Times New Roman" w:eastAsia="Times New Roman" w:hAnsi="Times New Roman"/>
          <w:sz w:val="18"/>
          <w:szCs w:val="18"/>
          <w:color w:val="auto"/>
        </w:rPr>
      </w:pPr>
    </w:p>
    <w:p>
      <w:pPr>
        <w:ind w:left="1424" w:right="360" w:hanging="439"/>
        <w:spacing w:after="0" w:line="282" w:lineRule="auto"/>
        <w:tabs>
          <w:tab w:leader="none" w:pos="142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authority set out in this resolution is revoked or varied by an ordinary resolution of the shareholders of the Company in general meeting.”</w:t>
      </w:r>
    </w:p>
    <w:p>
      <w:pPr>
        <w:spacing w:after="0" w:line="67"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consider and approve that conditional upon the passing of resolutions set out in items 7 and 8, the general mandate referred to in the resolution set out in item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be and is hereby extended by the addition to the aggregate number of shares that may be allotted and issued or agreed conditionally or unconditionally to be allotted and issued by the Directors pursuant to such general mandate of the number of shares and/or share underlying the ADSs repurchased by the Company pursuant to the mandate referred to in the resolution set out in item 8, provided that such amount shall not exceed 10% of the total number of the issued shares (including the Class A Ordinary Shares and the Class B Ordinary Shares and excluding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SPECIAL RESOLUTION</w:t>
      </w:r>
    </w:p>
    <w:p>
      <w:pPr>
        <w:spacing w:after="0" w:line="256" w:lineRule="exact"/>
        <w:rPr>
          <w:sz w:val="20"/>
          <w:szCs w:val="20"/>
          <w:color w:val="auto"/>
        </w:rPr>
      </w:pPr>
    </w:p>
    <w:p>
      <w:pPr>
        <w:ind w:left="424" w:right="60" w:hanging="424"/>
        <w:spacing w:after="0" w:line="261"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the proposed amendments to the memorandum and articles of association of the Company and the adoption of the tenth amended and restated memorandum and articles of association of the Company as detailed in the proxy statement/circular dated May 11, 2026 to replace the ninth amended and restated memorandum and articles of association of the Company adopted by special resolution passed on June 20, 2023 in its entirety.</w:t>
      </w:r>
    </w:p>
    <w:p>
      <w:pPr>
        <w:spacing w:after="0" w:line="11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4"/>
          </w:cols>
          <w:pgMar w:left="436"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ORDINARY SHARES RECORD DATE AND ADS RECORD DATE</w:t>
      </w:r>
    </w:p>
    <w:p>
      <w:pPr>
        <w:spacing w:after="0" w:line="11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Board has fixed the close of business on May 14, 2026, Hong Kong time, as the record date (the “</w:t>
      </w:r>
      <w:r>
        <w:rPr>
          <w:rFonts w:ascii="Times New Roman" w:cs="Times New Roman" w:eastAsia="Times New Roman" w:hAnsi="Times New Roman"/>
          <w:sz w:val="18"/>
          <w:szCs w:val="18"/>
          <w:b w:val="1"/>
          <w:bCs w:val="1"/>
          <w:color w:val="auto"/>
        </w:rPr>
        <w:t>Shares Record Date</w:t>
      </w:r>
      <w:r>
        <w:rPr>
          <w:rFonts w:ascii="Times New Roman" w:cs="Times New Roman" w:eastAsia="Times New Roman" w:hAnsi="Times New Roman"/>
          <w:sz w:val="18"/>
          <w:szCs w:val="18"/>
          <w:color w:val="auto"/>
        </w:rPr>
        <w:t>”) of Class A Ordinary Shares and/or Class B Ordinary Shares of the Company, each with a par value US$0.00001 per share. Holders of record of the Company’s Class A Ordinary Shares and/or Class B Ordinary Shares as of the Shares Record Date are entitled to attend and vote at the AGM and any adjourned meeting thereof.</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be eligible to vote and attend this AGM, persons who hold the Company’s Class A Ordinary Shares and/or Class B Ordinary Shares directly on our Cayman Islands register of members should ensure that all valid transfer documents, accompanied by the relevant share certificates, are lodged with our principal share registrar in Cayman Islands, Ascentium (Cayman) Limited, at 4th Floor, Harbour Place, 103 South Church Street, P.O. Box 10240, Grand Cayman KY1-1002, Cayman Islands, before 4:30 p.m., Hong Kong time, on May 14, 2026; and persons who hold the Company’s Class A Ordinary Shares directly on our Hong Kong register of members should ensure that all valid transfer documents, accompanied by the relevant share certificates, are lodged with our branch share registrar in Hong Kong, Tricor Investor Services Limited, at 17/F, Far East Finance Centre, 16 Harcourt Road, Hong Kong, within the same period (i.e. before 4:30 p.m., Hong Kong time, on May 14, 2026).</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Holders of record of ADSs as of the close of business on May 14, 2026, New York time (the “</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 who wish to exercise their voting rights for the underlying Class A Ordinary Shares must give voting instructions to Citibank, N.A., the depositary of the ADSs.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Only holders of record of Class A Ordinary Shares and/or Class B Ordinary Shares as of the Shares Record Date are entitled to attend and vote at the AGM. Please note that holders of ADSs are not entitled to attend the AGM. Any ADS holder who appears at the venue of the AGM will not be allowed to attend the AGM. Any ADS holder that wishes to attend the AGM or vote directly must cancel their ADS(s) in exchange for Class A Ordinary Shares and will need to make arrangements to deliver their ADS(s) to Citibank, N.A., as depositary of the ADS(s), for cancellation with sufficient time to allow for the delivery and exchange of them for the underlying Class A Ordinary Shares before the Shares Record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encourage shareholders planning to attend the AGM in person to pre-register by sending an email to gm@x-peng.cn.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officers and agents of the Company reserve the right to refuse any person entry to the AGM, or to instruct any person to leave the AGM, where such officer or agent reasonably considers that such refusal or instruction is or may be required for the Company to be able to comply with applicable laws and regulations. The exercise of such right to refuse entry or instruct to leave shall not invalidate the proceedings at the AGM.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FORMS AND ADS VOTING CARDS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holder of Class A Ordinary Shares and/or Class B Ordinary Shares as of the Shares Record Date may appoint proxy(ies) to exercise his or her rights at the AGM. A holder of ADSs as of the ADS Record Date will need to instruct Citibank, N.A., the depositary of the ADSs, as to how to vote the Class A Ordinary Shares represented by the ADSs. Please refer to the proxy form (for holders of Class A Ordinary Shares and/or Class B Ordinary Shares) or ADS voting card (for holders of ADSs) (the “</w:t>
      </w:r>
      <w:r>
        <w:rPr>
          <w:rFonts w:ascii="Times New Roman" w:cs="Times New Roman" w:eastAsia="Times New Roman" w:hAnsi="Times New Roman"/>
          <w:sz w:val="18"/>
          <w:szCs w:val="18"/>
          <w:b w:val="1"/>
          <w:bCs w:val="1"/>
          <w:color w:val="auto"/>
        </w:rPr>
        <w:t>ADS Voting Card</w:t>
      </w:r>
      <w:r>
        <w:rPr>
          <w:rFonts w:ascii="Times New Roman" w:cs="Times New Roman" w:eastAsia="Times New Roman" w:hAnsi="Times New Roman"/>
          <w:sz w:val="18"/>
          <w:szCs w:val="18"/>
          <w:color w:val="auto"/>
        </w:rPr>
        <w:t xml:space="preserve">”) and the proxy statement/circular for further details and instructions. The proxy statement/circular and the proxy form are available for viewing on our website at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 xml:space="preserve"> and the website of the Hong Kong Stock Exchange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0"/>
          </w:cols>
          <w:pgMar w:left="440" w:top="266" w:right="45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REPORT</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Shareholders may obtain a copy of the Company’s annual report on Form 20-F and/or the Hong Kong annual report, free of charge, from the Company’s website at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 xml:space="preserve">, on the website of the U.S. Securities and Exchange Commission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color w:val="auto"/>
        </w:rPr>
        <w:t xml:space="preserve"> and on the website of the Hong Kong Stock Exchange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 or by contacting our Investor Relations department at T2, XPENG Tech Park, No. 10, Cencun Fengzhuang Avenue, Tianhe District, Guangzhou, PRC.</w:t>
      </w:r>
    </w:p>
    <w:p>
      <w:pPr>
        <w:spacing w:after="0" w:line="176"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t>Holders of record of the Company’s Class A Ordinary Shares and/or Class B Ordinary Shares as of the Shares Record Date are cordially invited to attend the AGM in person. Your vote is important. You are urged to complete, sign, date and return the accompanying proxy form to us (for holders of Class A Ordinary Shares and/or Class B Ordinary Shares) or your voting instructions to Citibank, N.A. (for holders of the ADSs) as promptly as possible and before the prescribed deadline if you wish to exercise your voting rights. We must receive the proxy form by no later than 10:00 a.m., Hong Kong time, on June 24, 2026 to ensure your representation at the AGM, and Citibank, N.A. must receive your voting instructions by no later than 10:00 a.m., New York time, on June 17, 2026 to enable the votes attaching to the Class A Ordinary Shares represented by your ADSs to be cast at the AGM.</w:t>
      </w:r>
    </w:p>
    <w:p>
      <w:pPr>
        <w:spacing w:after="0" w:line="214"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Monday, May 11, 2026</w:t>
      </w:r>
    </w:p>
    <w:p>
      <w:pPr>
        <w:spacing w:after="0" w:line="223" w:lineRule="exact"/>
        <w:rPr>
          <w:sz w:val="20"/>
          <w:szCs w:val="20"/>
          <w:color w:val="auto"/>
        </w:rPr>
      </w:pPr>
    </w:p>
    <w:p>
      <w:pPr>
        <w:ind w:left="4" w:right="820"/>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notice, the Board comprises Mr. Xiaopeng He as an executive Director, Mr. Ji-Xun Foo as a non-executive Director, and Mr. Donghao Yang, Ms. Fang Qu, Mr. HongJiang Zhang and Mr. Yudong Chen as independent non-executive Directors.</w:t>
      </w:r>
    </w:p>
    <w:p>
      <w:pPr>
        <w:spacing w:after="0" w:line="64" w:lineRule="exact"/>
        <w:rPr>
          <w:sz w:val="20"/>
          <w:szCs w:val="20"/>
          <w:color w:val="auto"/>
        </w:rPr>
      </w:pPr>
    </w:p>
    <w:p>
      <w:pPr>
        <w:ind w:left="224" w:hanging="224"/>
        <w:spacing w:after="0"/>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4"/>
          </w:cols>
          <w:pgMar w:left="436" w:top="266" w:right="479" w:bottom="1440" w:gutter="0" w:footer="0" w:header="0"/>
        </w:sectPr>
      </w:pPr>
    </w:p>
    <w:bookmarkStart w:id="13" w:name="page14"/>
    <w:bookmarkEnd w:id="13"/>
    <w:p>
      <w:pPr>
        <w:ind w:left="4" w:right="1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Hong Kong Exchanges and Clearing Limited and The Stock Exchange of Hong Kong Limited take no responsibility for the contents of this proxy statement/circular, make no representation as to its accuracy or completeness and expressly disclaim any liability whatsoever for any loss howsoever arising from or in reliance upon the whole or any part of the contents of this proxy statement/circular.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140335</wp:posOffset>
            </wp:positionV>
            <wp:extent cx="1337310" cy="720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73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31" w:lineRule="exact"/>
        <w:rPr>
          <w:sz w:val="20"/>
          <w:szCs w:val="20"/>
          <w:color w:val="auto"/>
        </w:rPr>
      </w:pPr>
    </w:p>
    <w:p>
      <w:pPr>
        <w:jc w:val="center"/>
        <w:ind w:right="-143"/>
        <w:spacing w:after="0" w:line="207" w:lineRule="exact"/>
        <w:rPr>
          <w:sz w:val="20"/>
          <w:szCs w:val="20"/>
          <w:color w:val="auto"/>
        </w:rPr>
      </w:pPr>
      <w:r>
        <w:rPr>
          <w:rFonts w:ascii="PMingLiU" w:cs="PMingLiU" w:eastAsia="PMingLiU" w:hAnsi="PMingLiU"/>
          <w:sz w:val="16"/>
          <w:szCs w:val="16"/>
          <w:color w:val="auto"/>
          <w:highlight w:val="black"/>
        </w:rPr>
        <w:t>小鵬集團</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(NYSE Ticker: XPEV, HKEx Stock Code: 9868)</w:t>
      </w:r>
    </w:p>
    <w:p>
      <w:pPr>
        <w:spacing w:after="0" w:line="9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PROXY STATEMENT/CIRCULAR FOR</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03"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Enclosed is the proxy statement of XPeng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which provides additional information of the matters to be considered at the annual general meeting of the shareholders of the Company.</w:t>
      </w:r>
    </w:p>
    <w:p>
      <w:pPr>
        <w:spacing w:after="0" w:line="159"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This proxy statement also serves as a circular to holders of Class A Ordinary Shares and/or Class B Ordinary Shares of the Company pursuant to Rule 13.73 of the Rules Governing the Listing of Securities on The Stock Exchange of Hong Kong Limited (the “</w:t>
      </w:r>
      <w:r>
        <w:rPr>
          <w:rFonts w:ascii="Times New Roman" w:cs="Times New Roman" w:eastAsia="Times New Roman" w:hAnsi="Times New Roman"/>
          <w:sz w:val="18"/>
          <w:szCs w:val="18"/>
          <w:b w:val="1"/>
          <w:bCs w:val="1"/>
          <w:color w:val="auto"/>
        </w:rPr>
        <w:t>Hong Kong Listing Rules</w:t>
      </w:r>
      <w:r>
        <w:rPr>
          <w:rFonts w:ascii="Times New Roman" w:cs="Times New Roman" w:eastAsia="Times New Roman" w:hAnsi="Times New Roman"/>
          <w:sz w:val="18"/>
          <w:szCs w:val="18"/>
          <w:color w:val="auto"/>
        </w:rPr>
        <w:t xml:space="preserve">”). This proxy statement/circular is also available for viewing on the Company’s website at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This circular, for which the directors of the Company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collectively and individually accept full responsibility, includes particulars given in compliance with the Hong Kong Listing Rules for the purpose of giving information with regard to the Company. The Directors, having made all reasonable enquiries, confirm that to the best of their knowledge and belief, the information contained in this circular is accurate and complete in all material respects and not misleading or deceptive, and there are no other matters the omission of which would make any statement in this circular or thus circular as a whole misleading.</w:t>
      </w:r>
    </w:p>
    <w:p>
      <w:pPr>
        <w:spacing w:after="0" w:line="21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Monday, May 11, 2026</w:t>
      </w:r>
    </w:p>
    <w:p>
      <w:pPr>
        <w:spacing w:after="0" w:line="223" w:lineRule="exact"/>
        <w:rPr>
          <w:sz w:val="20"/>
          <w:szCs w:val="20"/>
          <w:color w:val="auto"/>
        </w:rPr>
      </w:pPr>
    </w:p>
    <w:p>
      <w:pPr>
        <w:ind w:left="4" w:right="200"/>
        <w:spacing w:after="0" w:line="315" w:lineRule="auto"/>
        <w:rPr>
          <w:sz w:val="20"/>
          <w:szCs w:val="20"/>
          <w:color w:val="auto"/>
        </w:rPr>
      </w:pPr>
      <w:r>
        <w:rPr>
          <w:rFonts w:ascii="Times New Roman" w:cs="Times New Roman" w:eastAsia="Times New Roman" w:hAnsi="Times New Roman"/>
          <w:sz w:val="17"/>
          <w:szCs w:val="17"/>
          <w:i w:val="1"/>
          <w:iCs w:val="1"/>
          <w:color w:val="auto"/>
        </w:rPr>
        <w:t>As of the date of this proxy statement/circular, the board of Directors comprises Mr. Xiaopeng He as an executive Director, Mr. Ji-Xun Foo as a non-executive Director, and Mr. Donghao Yang, Ms. Fang Qu, Mr. HongJiang Zhang and Mr. Yudong Chen as independent non-executive Directors.</w:t>
      </w:r>
    </w:p>
    <w:p>
      <w:pPr>
        <w:spacing w:after="0" w:line="40" w:lineRule="exact"/>
        <w:rPr>
          <w:sz w:val="20"/>
          <w:szCs w:val="20"/>
          <w:color w:val="auto"/>
        </w:rPr>
      </w:pPr>
    </w:p>
    <w:p>
      <w:pPr>
        <w:ind w:left="224" w:hanging="224"/>
        <w:spacing w:after="0"/>
        <w:tabs>
          <w:tab w:leader="none" w:pos="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16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884"/>
          </w:cols>
          <w:pgMar w:left="436" w:top="268" w:right="5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XPENG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(NYSE Ticker: XPEV, HKEx Stock Code: 9868)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STATEMENT/CIRCULAR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Board of XPeng Inc. is soliciting proxies for the AGM to be held on June 26, 2026, at 10:00 a.m. Hong Kong time. The AGM will be held at T2, XPENG Tech Park, No. 10, Cencun Fengzhuang Avenue, Tianhe District, Guangzhou, PRC.</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 xml:space="preserve">You can review and download the proxy statement/circular and the proxy form at the Company’s website at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 xml:space="preserve"> and the website of the Hong Kong Stock Exchange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 SHARE OWNERSHIP AND QUORUM</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Only holders of the Company’s Class A Ordinary Shares and/or Class B Ordinary Shares, par value US$0.00001 per share of record as of the close of business on May 14, 2026, Hong Kong time (the “</w:t>
      </w:r>
      <w:r>
        <w:rPr>
          <w:rFonts w:ascii="Times New Roman" w:cs="Times New Roman" w:eastAsia="Times New Roman" w:hAnsi="Times New Roman"/>
          <w:sz w:val="18"/>
          <w:szCs w:val="18"/>
          <w:b w:val="1"/>
          <w:bCs w:val="1"/>
          <w:color w:val="auto"/>
        </w:rPr>
        <w:t>Shares Record Date</w:t>
      </w:r>
      <w:r>
        <w:rPr>
          <w:rFonts w:ascii="Times New Roman" w:cs="Times New Roman" w:eastAsia="Times New Roman" w:hAnsi="Times New Roman"/>
          <w:sz w:val="18"/>
          <w:szCs w:val="18"/>
          <w:color w:val="auto"/>
        </w:rPr>
        <w:t>”) are entitled to attend and vote at the AGM.</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be eligible to vote and attend the AGM, persons who hold the Company’s Class A Ordinary Shares and/or Class B Ordinary Shares directly on our Cayman Islands register of members should ensure that all valid transfer documents, accompanied by the relevant share certificates, are lodged with our principal share registrar in Cayman Islands, Ascentium (Cayman) Limited (the “</w:t>
      </w:r>
      <w:r>
        <w:rPr>
          <w:rFonts w:ascii="Times New Roman" w:cs="Times New Roman" w:eastAsia="Times New Roman" w:hAnsi="Times New Roman"/>
          <w:sz w:val="18"/>
          <w:szCs w:val="18"/>
          <w:b w:val="1"/>
          <w:bCs w:val="1"/>
          <w:color w:val="auto"/>
        </w:rPr>
        <w:t>Cayman Registrar</w:t>
      </w:r>
      <w:r>
        <w:rPr>
          <w:rFonts w:ascii="Times New Roman" w:cs="Times New Roman" w:eastAsia="Times New Roman" w:hAnsi="Times New Roman"/>
          <w:sz w:val="18"/>
          <w:szCs w:val="18"/>
          <w:color w:val="auto"/>
        </w:rPr>
        <w:t>”), at 4th Floor, Harbour Place, 103 South Church Street, P.O. Box 10240, Grand Cayman KY1-1002, Cayman Islands, before 4:30 p.m., Hong Kong time, on May 14, 2026; and persons who hold the Company’s Class A Ordinary Shares directly on our Hong Kong register of members should ensure that all valid transfer documents, accompanied by the relevant share certificates, are lodged with our branch share registrar in Hong Kong, Tricor Investor Services Limited (the “</w:t>
      </w:r>
      <w:r>
        <w:rPr>
          <w:rFonts w:ascii="Times New Roman" w:cs="Times New Roman" w:eastAsia="Times New Roman" w:hAnsi="Times New Roman"/>
          <w:sz w:val="18"/>
          <w:szCs w:val="18"/>
          <w:b w:val="1"/>
          <w:bCs w:val="1"/>
          <w:color w:val="auto"/>
        </w:rPr>
        <w:t>Hong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Kong Branch Share Registrar</w:t>
      </w:r>
      <w:r>
        <w:rPr>
          <w:rFonts w:ascii="Times New Roman" w:cs="Times New Roman" w:eastAsia="Times New Roman" w:hAnsi="Times New Roman"/>
          <w:sz w:val="18"/>
          <w:szCs w:val="18"/>
          <w:color w:val="auto"/>
        </w:rPr>
        <w:t>”), at 17/F, Far East Finance Centre, 16 Harcourt Road, Hong Kong, within the same period (i.e. before 4:30 p.m.,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Kong time, on May 14, 2026).</w:t>
      </w:r>
    </w:p>
    <w:p>
      <w:pPr>
        <w:spacing w:after="0" w:line="188"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color w:val="auto"/>
        </w:rPr>
        <w:t>Holders of American Depositary Shares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issued by Citibank, N.A., as the depositary of the ADSs, and representing our Class A Ordinary Shares are not entitled to attend or vote at the AGM under the Company’s ninth amended and restated memorandum and articles of association.</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Please note that any ADS holder who appears at the venue of the AGM will not be allowed to attend the relevant meetings. Holders of ADSs as of the close of business on May 14, 2026, New York time (the “</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 will be able to instruct Citibank, N.A., the holder of record of Class A Ordinary Shares (through a nominee) represented by ADSs, as to how to vote the Class A Ordinary Shares represented by such ADSs. Citibank, N.A., as the depositary of the ADSs, will endeavor, to the extent practicable and legally permissible, to vote or cause to be voted at the AGM the Class A Ordinary Shares it holds in respect of the ADSs in accordance with the instructions which it has properly received from ADS holders and the terms of the deposit agreement for the ADSs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AGM, holders of not less than ten percent (10%) of the voting rights (on a one vote per share basis) in the share capital of the Company shall be the quorum for all purposes.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66" w:right="45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AND SOLICITATION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Class A Ordinary Share issued and outstanding as of the close of business on the Shares Record Date is entitled to one vote per share at the AGM.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Class B Ordinary Share issued and outstanding as of the close of business on the Shares Record Date is entitled to ten votes per share, save for</w:t>
      </w:r>
    </w:p>
    <w:p>
      <w:pPr>
        <w:spacing w:after="0" w:line="27" w:lineRule="exact"/>
        <w:rPr>
          <w:sz w:val="20"/>
          <w:szCs w:val="20"/>
          <w:color w:val="auto"/>
        </w:rPr>
      </w:pPr>
    </w:p>
    <w:p>
      <w:pPr>
        <w:ind w:left="4" w:right="140" w:hanging="4"/>
        <w:spacing w:after="0" w:line="253" w:lineRule="auto"/>
        <w:tabs>
          <w:tab w:leader="none" w:pos="2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regarding the re-election of independent non-executive Directors, (B) the resolution regarding the re-appointment of PricewaterhouseCoopers and PricewaterhouseCoopers Zhong Tian LLP as auditors of the Company, and (C) the resolution regarding the proposed amendments to the memorandum and articles of association of the Company, in which cases the Class B Ordinary Shares shall have one vote per share at the AGM.</w:t>
      </w:r>
    </w:p>
    <w:p>
      <w:pPr>
        <w:spacing w:after="0" w:line="189" w:lineRule="exact"/>
        <w:rPr>
          <w:sz w:val="20"/>
          <w:szCs w:val="20"/>
          <w:color w:val="auto"/>
        </w:rPr>
      </w:pPr>
    </w:p>
    <w:p>
      <w:pPr>
        <w:ind w:left="4" w:right="340"/>
        <w:spacing w:after="0" w:line="312" w:lineRule="auto"/>
        <w:rPr>
          <w:sz w:val="20"/>
          <w:szCs w:val="20"/>
          <w:color w:val="auto"/>
        </w:rPr>
      </w:pPr>
      <w:r>
        <w:rPr>
          <w:rFonts w:ascii="Times New Roman" w:cs="Times New Roman" w:eastAsia="Times New Roman" w:hAnsi="Times New Roman"/>
          <w:sz w:val="17"/>
          <w:szCs w:val="17"/>
          <w:color w:val="auto"/>
        </w:rPr>
        <w:t>Each resolution put to the vote at the AGM will be decided by poll. Where required by the Hong Kong Listing Rules, a shareholder of the Company who has a material interest in the matter to be approved by a particular resolution will be required to abstain from voting on such resolution.</w:t>
      </w:r>
    </w:p>
    <w:p>
      <w:pPr>
        <w:spacing w:after="0" w:line="140"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 xml:space="preserve">An announcement on the poll results will be published after the AGM in the manner prescribed under Rule 13.39(5) of the Hong Kong Listing Rules and on the website of the U.S. Securities and Exchange Commission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 xml:space="preserve">The solicitation materials are available on the Company’s website at </w:t>
      </w:r>
      <w:r>
        <w:rPr>
          <w:rFonts w:ascii="Times New Roman" w:cs="Times New Roman" w:eastAsia="Times New Roman" w:hAnsi="Times New Roman"/>
          <w:sz w:val="18"/>
          <w:szCs w:val="18"/>
          <w:b w:val="1"/>
          <w:bCs w:val="1"/>
          <w:u w:val="single" w:color="auto"/>
          <w:color w:val="auto"/>
        </w:rPr>
        <w:t>ir.xiaopeng.com</w:t>
      </w:r>
      <w:r>
        <w:rPr>
          <w:rFonts w:ascii="Times New Roman" w:cs="Times New Roman" w:eastAsia="Times New Roman" w:hAnsi="Times New Roman"/>
          <w:sz w:val="18"/>
          <w:szCs w:val="18"/>
          <w:color w:val="auto"/>
        </w:rPr>
        <w:t xml:space="preserve">, the website of the U.S. Securities and Exchange Commission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website of the Hong Kong Stock Exchange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VOTING BY HOLDERS OF ORDINARY SHARES</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When proxy forms are properly dated, executed and returned by holders of Class A Ordinary Shares to the mailing address set forth in the proxy form before 10:00 a.m., Hong Kong time, on June 24, 2026 (the deadline for the return of such proxy forms), the Class A Ordinary Shares represented by all properly executed proxies returned to the Cayman Registrar or Hong Kong Branch Share Registrar, as applicable, will be voted at the AGM as indicated or, if no instruction is given, the holder of the proxy will vote the Class A Ordinary Shares in his/her discretion, unless a reference to the holder of the proxy having such discretion has been deleted and initialed on the relevant proxy form.</w:t>
      </w:r>
    </w:p>
    <w:p>
      <w:pPr>
        <w:spacing w:after="0" w:line="18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When proxy forms are properly dated, executed and returned by holders of Class B Ordinary Shares to the mailing address set forth in the proxy form before 10:00 a.m., Hong Kong time, on June 24, 2026 (the deadline for the return of such proxy forms), the Class B Ordinary Shares represented by all properly executed proxies returned to the Cayman Registrar will be voted at the AGM as indicated or, if no instruction is given, the holder of the proxy will vote the Class B Ordinary Shares in his discretion, unless a reference to the holder of the proxy having such discretion has been deleted and initialed on the relevant proxy form.</w:t>
      </w:r>
    </w:p>
    <w:p>
      <w:pPr>
        <w:spacing w:after="0" w:line="183"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Where the chairman of the AGM acts as proxy and is entitled to exercise his discretion, he will vote the Class A Ordinary Shares and/or Class B Ordinary Shares FOR the relevant resolutions. As to any other business that may properly come before the AGM, all properly executed proxies will be voted by the persons named therein in accordance with their discretion.</w:t>
      </w:r>
    </w:p>
    <w:p>
      <w:pPr>
        <w:spacing w:after="0" w:line="176"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Where any holder of Class A Ordinary Shares and/or Class B Ordinary Shares affirmatively abstains from voting on any particular resolution, the votes attaching to such shares will not be included or counted in the determination of the number of the shares present and voting for the purposes of determining whether such resolution has been passed (but they will be counted for the purposes of determining the quorum, as described above).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4"/>
          </w:cols>
          <w:pgMar w:left="436" w:top="266"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BY HOLDERS OF ADSs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the holder of record for all the Class A Ordinary Shares represented by the ADSs (through a nominee), only Citibank, N.A., in its capacity as the depositary of the ADSs, may attend and vote those Class A Ordinary Shares at the AGM. We have requested Citibank, N.A., as the depositary of the ADSs, to distribute to all owners of record of ADSs as of the ADS Record Date, the notice of the AGM and the relevant ADS voting cards (the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Voting Card(s)</w:t>
      </w:r>
      <w:r>
        <w:rPr>
          <w:rFonts w:ascii="Times New Roman" w:cs="Times New Roman" w:eastAsia="Times New Roman" w:hAnsi="Times New Roman"/>
          <w:sz w:val="18"/>
          <w:szCs w:val="18"/>
          <w:color w:val="auto"/>
        </w:rPr>
        <w:t>”). Upon the timely receipt from any holders of record of ADSs of voting instructions in the manner specified, Citibank, N.A.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endeavor, to the extent practicable and legally permissible, to vote or cause to be voted the number of Class A Ordinary Shares represented by the ADSs in accordance with such voting instructions. Under the terms of the Deposit Agreement, Citibank, N.A. will not vote or attempt to exercise the right to vote other than in accordance with such voting instructions or such deemed instructions as further described in the paragraphs below. There is no guarantee that a holder of ADSs will receive the materials described above with sufficient time to enable such holder to return voting instructions to Citibank, N.A. in a timely manner, in which case the Class A Ordinary Shares underlying your ADSs may not be voted in accordance with your wishes.</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a timely returned ADS Voting Card is signed but is missing voting instructions, Citibank, N.A. shall deem the holder of the ADSs in question to have instructed Citibank, N.A. to vote in favor of such items set forth in the relevant ADS Voting Card. If a timely returned ADS Voting Card is signed but contains conflicting voting instructions as to any item to be voted on at the AGM, Citibank, N.A. shall deem the holder of the ADSs in question to have instructed Citibank, N.A. to abstain from voting on such item. If no timely voting instructions are received by Citibank, N.A. from a holder of ADSs by 10:00 a.m. New York time, June 17, 2026, under the terms of the Deposit Agreement, Citibank, N.A. will deem such holder of ADSs to have instructed it to give a discretionary proxy to a person designated by the Company to vote the Class A Ordinary Shares represented by such holder’s ADSs, unless voting at the meeting is by show of hands and unless the Company has informed Citibank, N.A. that (x) the Company does not wish such proxy to be given, (y) substantial opposition exists, or (z) the rights of holders of ordinary shares may be materially adversely affected, in each case in accordance with the terms of the Deposit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 AND ADS VOTING CARDS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Any proxy given by a holder of Class A Ordinary Shares and/or Class B Ordinary Shares by means of a proxy form, and any voting instructions given by an ADS holder by means of an ADS Voting Card, pursuant to this solicitation may be revoked: (a) for holders of Class A Ordinary Shares, Class B Ordinary Shares or ADSs, by submitting a written notice of revocation or a fresh proxy form or fresh ADS Voting Card, as the case may be, bearing a later date, which must be received by the deadlines for returning the proxy forms or ADS Voting Cards set forth above, or (b) for holders of Class A Ordinary Shares or Class B Ordinary Shares only, by attending the AGM and voting in person.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0"/>
          </w:cols>
          <w:pgMar w:left="440" w:top="266" w:right="4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PROPOSALS 2 to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PROPOSED RE-ELECTION OF THE RETIRING DIRECTORS</w:t>
      </w:r>
    </w:p>
    <w:p>
      <w:pPr>
        <w:spacing w:after="0" w:line="20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Pursuant to the ninth amended and restated memorandum and articles of association of the Company (the “</w:t>
      </w:r>
      <w:r>
        <w:rPr>
          <w:rFonts w:ascii="Times New Roman" w:cs="Times New Roman" w:eastAsia="Times New Roman" w:hAnsi="Times New Roman"/>
          <w:sz w:val="18"/>
          <w:szCs w:val="18"/>
          <w:b w:val="1"/>
          <w:bCs w:val="1"/>
          <w:color w:val="auto"/>
        </w:rPr>
        <w:t>Existing Memorandum and Articles</w:t>
      </w:r>
      <w:r>
        <w:rPr>
          <w:rFonts w:ascii="Times New Roman" w:cs="Times New Roman" w:eastAsia="Times New Roman" w:hAnsi="Times New Roman"/>
          <w:sz w:val="18"/>
          <w:szCs w:val="18"/>
          <w:color w:val="auto"/>
        </w:rPr>
        <w:t>”), at every annual general meeting of the Company, one-third of the Directors for the time being (or, if their number is not three or a multiple of three, then the number nearest to, but not less than, one-third) shall retire from office by rotation provided that every Director (including those appointed for a specific term) shall be subject to retirement by rotation at least once every three years. Mr. Donghao Yang and Mr. HongJiang Zhang shall retire by rotation at the AGM. Each of Mr. Donghao Yang and Mr. HongJiang Zhang (together with Mr. Yudong Chen, the “</w:t>
      </w:r>
      <w:r>
        <w:rPr>
          <w:rFonts w:ascii="Times New Roman" w:cs="Times New Roman" w:eastAsia="Times New Roman" w:hAnsi="Times New Roman"/>
          <w:sz w:val="18"/>
          <w:szCs w:val="18"/>
          <w:b w:val="1"/>
          <w:bCs w:val="1"/>
          <w:color w:val="auto"/>
        </w:rPr>
        <w:t>Retiring Directors</w:t>
      </w:r>
      <w:r>
        <w:rPr>
          <w:rFonts w:ascii="Times New Roman" w:cs="Times New Roman" w:eastAsia="Times New Roman" w:hAnsi="Times New Roman"/>
          <w:sz w:val="18"/>
          <w:szCs w:val="18"/>
          <w:color w:val="auto"/>
        </w:rPr>
        <w:t>”), being eligible, has offered himself for re-election at the AGM.</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Existing Memorandum and Articles, any Director appointed by the Board either to fill a casual vacancy or as an addition to the Board shall hold office only until the next following general meeting of the Company after his/her appointment and shall then be eligible for re-election at that meeting. Accordingly, Mr. Yudong Chen, who was appointed by the Board, will hold office as an independent non-executive Director until the AGM and is subject to re-election.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nomination committee of the Board (the “</w:t>
      </w:r>
      <w:r>
        <w:rPr>
          <w:rFonts w:ascii="Times New Roman" w:cs="Times New Roman" w:eastAsia="Times New Roman" w:hAnsi="Times New Roman"/>
          <w:sz w:val="18"/>
          <w:szCs w:val="18"/>
          <w:b w:val="1"/>
          <w:bCs w:val="1"/>
          <w:color w:val="auto"/>
        </w:rPr>
        <w:t>Nomination Committee</w:t>
      </w:r>
      <w:r>
        <w:rPr>
          <w:rFonts w:ascii="Times New Roman" w:cs="Times New Roman" w:eastAsia="Times New Roman" w:hAnsi="Times New Roman"/>
          <w:sz w:val="18"/>
          <w:szCs w:val="18"/>
          <w:color w:val="auto"/>
        </w:rPr>
        <w:t>”) has reviewed (i) the structure and composition of the Board, (ii) the confirmations and disclosures given by the Retiring Directors, (iii) the qualifications, skills and experience, time commitment and contribution of the Retiring Directors with reference to the nomination principles and criteria set out in the Company’s Board Diversity Policy and Director Nomination Policy and the Company’s corporate strategy and (iv) the independence of the retiring independent non-executive Directors. Each of Mr. Donghao Yang, Mr. HongJiang Zhang and Mr. Yudong Chen, the retiring independent non-executive Directors proposed to be re-elected, has confirmed their independence with reference to the factors set out in Rule 3.13 of the Hong Kong Listing Rules. The Nomination Committee and the Board have conducted assessment on their independence and considered that each of Mr. Donghao Yang, Mr. HongJiang Zhang and Mr. Yudong Chen is independent in accordance with the independence guidelines set out in the Hong Kong Listing Rules, and are satisfied with the Retiring Directors’ contribution to the Company, which will continue to bring valuable business experience, knowledge and professionalism to the Board for its efficient and effective functioning and diversity. The Nomination Committee and the Board therefore recommended the re-election of the Retiring Directors as independent non-executive Directors at the AGM.</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Rule 13.74 of the Hong Kong Listing Rules, a listed issuer shall disclose the details required under Rule 13.51(2) of the Hong Kong Listing Rules of any director(s) proposed to be re-elected or proposed new director in the notice or accompanying proxy statement/circular to its shareholders of the relevant general meeting, if such re-election or appointment is subject to shareholders’ approval at that relevant general meeting. Details of the Retiring Directors are set out in Appendix A to this proxy statement/circular.</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the requirements under the Hong Kong Listing Rules and the Existing Memorandum and Articles, a shareholder may nominate a person to stand for election as a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shareholders vote FOR the resolutions in relation to the proposed re-election of the Retiring Directors.</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80"/>
          </w:cols>
          <w:pgMar w:left="440" w:top="266" w:right="47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6</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PROPOSED RE-APPOINTMENT OF AUDITORS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the recommendation of the audit committee of the Board, the Board proposed to re-appoint PricewaterhouseCoopers and PricewaterhouseCoopers Zhong Tian LLP as the auditors of the Company to hold office until the conclusion of the next annual general meeting of the Company. The audit fees for the year ending December 31, 2026 are estimated to be around RMB13.2 million, and the Board proposed it be authorized to fix their remunerations for the year ending December 31, 2026. PricewaterhouseCoopers and PricewaterhouseCoopers Zhong Tian LLP have indicated their willingness to be re-appointed as auditors of the Company for the said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fees are determined based on:</w:t>
      </w:r>
    </w:p>
    <w:p>
      <w:pPr>
        <w:spacing w:after="0" w:line="131" w:lineRule="exact"/>
        <w:rPr>
          <w:sz w:val="20"/>
          <w:szCs w:val="20"/>
          <w:color w:val="auto"/>
        </w:rPr>
      </w:pPr>
    </w:p>
    <w:p>
      <w:pPr>
        <w:ind w:left="960" w:hanging="424"/>
        <w:spacing w:after="0" w:line="255"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complexity of the audit work for the Group’s consolidated financial statements, considering the scale of operations, a significant number of subsidiaries and geographic coverage. As a dual primary-listed entity, the auditors are engaged to conduct two separate, full-scope audits of the Group’s consolidated financial statements: (i) the integrated audit (covering both financial statement audit and internal control over financial reporting) performed in accordance with the standards established by the Public Company Accounting Oversight Board (PCAOB) to satisfy U.S. Securities and Exchange Commission (SEC) regulatory requirements; and (ii) the financial statement audit performed in accordance with Hong Kong Standards on Auditing as issued by the Hong Kong Institute of Certified Public Accountants to meet the Hong Kong Listing Rules;</w:t>
      </w:r>
    </w:p>
    <w:p>
      <w:pPr>
        <w:spacing w:after="0" w:line="9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audit timeline, resources and professional expertise required;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benchmarking for similar scale and complexity of listed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shareholders vote FOR the resolution in relation to the proposed re-appointment of auditors.</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80"/>
          </w:cols>
          <w:pgMar w:left="440" w:top="266" w:right="4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GRANT OF GENERAL MANDATE TO ISSUE SHARES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give the Company the flexibility to issue Class A Ordinary Shares if and when appropriate, without needing to convene a general meeting for each and every share issuance, an ordinary resolution will be proposed at the AGM to approve the granting of a general mandate to the Directors to allot, issue or deal with additional Class A Ordinary Shares not exceeding 20% of the total number of issued shares (excluding treasury shares) of the Company as of the date of passing of such resolution (the “</w:t>
      </w:r>
      <w:r>
        <w:rPr>
          <w:rFonts w:ascii="Times New Roman" w:cs="Times New Roman" w:eastAsia="Times New Roman" w:hAnsi="Times New Roman"/>
          <w:sz w:val="18"/>
          <w:szCs w:val="18"/>
          <w:b w:val="1"/>
          <w:bCs w:val="1"/>
          <w:color w:val="auto"/>
        </w:rPr>
        <w:t>Issuance Mandate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the Latest Practicable Date, the issued share capital of the Company comprised 1,565,746,224 Class A Ordinary Shares and 348,708,257 Class B Ordinary Shares. Subject to the passing of the ordinary resolution 7 and on the basis that the issued share capital of the Company (excluding treasury shares) remains unchanged after the Latest Practicable Date and up to the date of the AGM, the Company will be allowed to issue a maximum of 382,890,896 Class A Ordinary Shares. The Directors wish to state that they have no immediate plans to issue any new shares pursuant to the Issuance Mandate. For the avoidance of doubt, any issuance of additional Class A Ordinary Shares upon satisfaction of certain milestones, pursuant to the share purchase agreement, dated August 27, 2023, among the Company, DiDi Global Inc. and Da Vinci Auto Co. Limited, is an exercise of powers authorized by the general mandate granted at the annual general meeting of the Company held on June 20, 2023, and shall not count towards the number of shares issued pursuant to the Issuance Mandate.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shareholders vote FOR the resolution in relation to the proposed grant of general mandate to issue shares.</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00"/>
          </w:cols>
          <w:pgMar w:left="440" w:top="266" w:right="4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PROPOSED GRANT OF GENERAL MANDATE TO REPURCHASE SHARES AND/OR ADSS</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order to give the Company the flexibility to repurchase shares and/or ADSs if and when appropriate, without needing to convene a general meeting for each and every share repurchase, an ordinary resolution will be proposed at the AGM to approve the granting of a new general mandate to the Directors to exercise the powers of the Company to repurchase its shares and/or ADSs representing up to 10% of the total number of issued shares (excluding treasury shares) of the Company as of the date of passing of such resolution (the “</w:t>
      </w:r>
      <w:r>
        <w:rPr>
          <w:rFonts w:ascii="Times New Roman" w:cs="Times New Roman" w:eastAsia="Times New Roman" w:hAnsi="Times New Roman"/>
          <w:sz w:val="18"/>
          <w:szCs w:val="18"/>
          <w:b w:val="1"/>
          <w:bCs w:val="1"/>
          <w:color w:val="auto"/>
        </w:rPr>
        <w:t>Repurchase Mandate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the Latest Practicable Date, the issued share capital of the Company comprised 1,565,746,224 Class A Ordinary Shares and 348,708,257 Class B Ordinary Shares. Subject to the passing of the ordinary resolution 8 and on the basis that the issued share capital of the Company (excluding treasury shares) remains unchanged after the Latest Practicable Date and up to the date of the AGM, the Company will be allowed to repurchase a maximum of 191,445,448 Class A Ordinary Shares.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 explanatory statement required by the Hong Kong Listing Rules to be sent to the shareholders of the Company in connection with the Repurchase Mandate is set out in Appendix B to this proxy statement/circular. This explanatory statement contains the information reasonably necessary to enable the shareholders of the Company to make an informed decision on whether to vote for or against the relevant resolution at the AGM.</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Board notes that with effect from June 11, 2024, the Hong Kong Listing Rules have been amended to remove the requirement to cancel repurchased shares and to adopt a framework to govern the resale of treasury shares. In view of the changes to the Hong Kong Listing Rules, if the Company purchases any Class A Ordinary Shares and/or ADSs pursuant to the Repurchase Mandate, the Company will either (i) cancel the Class A Ordinary Shares and/or the Class A Ordinary Shares underlying ADSs repurchased and/or (ii) hold such Class A Ordinary Shares and/or the Class A Ordinary Shares underlying ADSs in treasury, subject to market conditions and the Company’s capital management needs at the relevant time any repurchases of shares are made. If the Company holds any shares of the Company in treasury, any sale or transfer of such shares in treasury will be made pursuant to the terms of the Issuance Mandate and in accordance with the Hong Kong Listing Rules and applicable laws and regulations of the Cayman Islands. To the extent that any treasury shares are deposited with CCASS pending resale on the Hong Kong Stock Exchange, the Company will adopt appropriate measures to ensure that it does not exercise any shareholders’ rights or receive any entitlements which would otherwise be suspended under the applicable laws if those shares were registered in the Company’s own name as treasury shares, which may include approval by the Board that (i) the Company would not (or would procure its broker not to) give any instructions to Hong Kong Securities Clearing Company Limited to vote at general meetings for the treasury shares deposited with CCASS and (ii) in the case of dividends or distributions, the Company will withdraw the treasury shares from CCASS, and either re-register them in its own name as treasury shares or cancel them, in each case before the record date for the dividends or distributions.</w:t>
      </w:r>
    </w:p>
    <w:p>
      <w:pPr>
        <w:spacing w:after="0" w:line="19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Directors wish to state that they have no immediate plans to repurchase any shares pursuant to the Repurchase Mandate as of the Latest Practicable Date.</w:t>
      </w:r>
    </w:p>
    <w:p>
      <w:pPr>
        <w:spacing w:after="0" w:line="158" w:lineRule="exact"/>
        <w:rPr>
          <w:sz w:val="20"/>
          <w:szCs w:val="20"/>
          <w:color w:val="auto"/>
        </w:rPr>
      </w:pPr>
    </w:p>
    <w:p>
      <w:pPr>
        <w:jc w:val="center"/>
        <w:ind w:right="14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shareholders vote FOR the resolution in relation to the proposed grant of general mandate to repurchase shares. </w:t>
      </w:r>
      <w:r>
        <w:rPr>
          <w:rFonts w:ascii="Times New Roman" w:cs="Times New Roman" w:eastAsia="Times New Roman" w:hAnsi="Times New Roman"/>
          <w:sz w:val="18"/>
          <w:szCs w:val="18"/>
          <w:color w:val="auto"/>
        </w:rPr>
        <w:t>- 8 -</w:t>
      </w:r>
    </w:p>
    <w:p>
      <w:pPr>
        <w:sectPr>
          <w:pgSz w:w="11900" w:h="16838" w:orient="portrait"/>
          <w:cols w:equalWidth="0" w:num="1">
            <w:col w:w="10980"/>
          </w:cols>
          <w:pgMar w:left="440" w:top="266" w:right="479" w:bottom="1440" w:gutter="0" w:footer="0" w:header="0"/>
        </w:sectPr>
      </w:pPr>
    </w:p>
    <w:bookmarkStart w:id="21" w:name="page22"/>
    <w:bookmarkEnd w:id="21"/>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9</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PROPOSED GRANT OF EXTENSION MANDATE TO ISSUE SHARES</w:t>
      </w:r>
    </w:p>
    <w:p>
      <w:pPr>
        <w:spacing w:after="0" w:line="207"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In addition, subject to a separate approval of the ordinary resolution 9, the number of shares and/or shares underlying the ADSs purchased by the Company under ordinary resolution 8 will also be added to extend the Issuance Mandate as mentioned in ordinary resolution 7 provided that such additional number shall represent up to 10% of the total number of issued shares (excluding treasury shares) of the Company as of the date of passing the resolutions in relation to the Issuance Mandate and Repurchase Mandate (the “</w:t>
      </w:r>
      <w:r>
        <w:rPr>
          <w:rFonts w:ascii="Times New Roman" w:cs="Times New Roman" w:eastAsia="Times New Roman" w:hAnsi="Times New Roman"/>
          <w:sz w:val="18"/>
          <w:szCs w:val="18"/>
          <w:b w:val="1"/>
          <w:bCs w:val="1"/>
          <w:color w:val="auto"/>
        </w:rPr>
        <w:t>Extension Mandate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Board recommends that shareholders vote FOR the resolution in relation to the proposed grant of extension mandate to issue shares.</w:t>
      </w:r>
    </w:p>
    <w:p>
      <w:pPr>
        <w:spacing w:after="0" w:line="229" w:lineRule="exact"/>
        <w:rPr>
          <w:sz w:val="20"/>
          <w:szCs w:val="20"/>
          <w:color w:val="auto"/>
        </w:rPr>
      </w:pPr>
    </w:p>
    <w:p>
      <w:pPr>
        <w:ind w:left="4" w:right="100"/>
        <w:spacing w:after="0" w:line="276" w:lineRule="auto"/>
        <w:rPr>
          <w:sz w:val="20"/>
          <w:szCs w:val="20"/>
          <w:color w:val="auto"/>
        </w:rPr>
      </w:pPr>
      <w:r>
        <w:rPr>
          <w:rFonts w:ascii="Times New Roman" w:cs="Times New Roman" w:eastAsia="Times New Roman" w:hAnsi="Times New Roman"/>
          <w:sz w:val="17"/>
          <w:szCs w:val="17"/>
          <w:color w:val="auto"/>
        </w:rPr>
        <w:t>The Issuance Mandate (including the Extension Mandate) and the Repurchase Mandate, if granted, shall continue to be in force during the period from the date of passing of the resolutions for the approval of the Issuance Mandate (including the Extension Mandate) and the Repurchase Mandate up to</w:t>
      </w:r>
    </w:p>
    <w:p>
      <w:pPr>
        <w:spacing w:after="0" w:line="1" w:lineRule="exact"/>
        <w:rPr>
          <w:sz w:val="20"/>
          <w:szCs w:val="20"/>
          <w:color w:val="auto"/>
        </w:rPr>
      </w:pPr>
    </w:p>
    <w:p>
      <w:pPr>
        <w:ind w:left="4" w:hanging="4"/>
        <w:spacing w:after="0" w:line="253"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of the Company; (ii) the expiration of the period within which the next annual general meeting of the Company is required to be held by the articles of association of the Company or any applicable laws and regulations; or (iii) the date on which the authority set out in the Issuance Mandate (including the Extension Mandate) or the Repurchase Mandate (as the case may be) is revoked or varied by an ordinary resolution of the shareholders in general meeting, whichever occurs first.</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944"/>
          </w:cols>
          <w:pgMar w:left="436" w:top="266" w:right="519" w:bottom="1440" w:gutter="0" w:footer="0" w:header="0"/>
        </w:sectPr>
      </w:pPr>
    </w:p>
    <w:bookmarkStart w:id="22" w:name="page23"/>
    <w:bookmarkEnd w:id="2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10</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PROPOSED AMENDMENTS TO THE MEMORANDUM AND ARTICLES OF ASSOCIATION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4" w:right="220"/>
        <w:spacing w:after="0" w:line="272" w:lineRule="auto"/>
        <w:rPr>
          <w:sz w:val="20"/>
          <w:szCs w:val="20"/>
          <w:color w:val="auto"/>
        </w:rPr>
      </w:pPr>
      <w:r>
        <w:rPr>
          <w:rFonts w:ascii="Times New Roman" w:cs="Times New Roman" w:eastAsia="Times New Roman" w:hAnsi="Times New Roman"/>
          <w:sz w:val="17"/>
          <w:szCs w:val="17"/>
          <w:color w:val="auto"/>
        </w:rPr>
        <w:t>We refer to the announcement of the Company dated April 29, 2026, pursuant to which it was announced that the Board proposed to amend the Company’s ninth amended and restated memorandum and articles of association (the “</w:t>
      </w:r>
      <w:r>
        <w:rPr>
          <w:rFonts w:ascii="Times New Roman" w:cs="Times New Roman" w:eastAsia="Times New Roman" w:hAnsi="Times New Roman"/>
          <w:sz w:val="17"/>
          <w:szCs w:val="17"/>
          <w:b w:val="1"/>
          <w:bCs w:val="1"/>
          <w:color w:val="auto"/>
        </w:rPr>
        <w:t>Existing Memorandum and Articles</w:t>
      </w:r>
      <w:r>
        <w:rPr>
          <w:rFonts w:ascii="Times New Roman" w:cs="Times New Roman" w:eastAsia="Times New Roman" w:hAnsi="Times New Roman"/>
          <w:sz w:val="17"/>
          <w:szCs w:val="17"/>
          <w:color w:val="auto"/>
        </w:rPr>
        <w:t>”), and to adopt the tenth amended and restated memorandum and articles of association of the Company (the “</w:t>
      </w:r>
      <w:r>
        <w:rPr>
          <w:rFonts w:ascii="Times New Roman" w:cs="Times New Roman" w:eastAsia="Times New Roman" w:hAnsi="Times New Roman"/>
          <w:sz w:val="17"/>
          <w:szCs w:val="17"/>
          <w:b w:val="1"/>
          <w:bCs w:val="1"/>
          <w:color w:val="auto"/>
        </w:rPr>
        <w:t>New Memorandum and Articles</w:t>
      </w:r>
      <w:r>
        <w:rPr>
          <w:rFonts w:ascii="Times New Roman" w:cs="Times New Roman" w:eastAsia="Times New Roman" w:hAnsi="Times New Roman"/>
          <w:sz w:val="17"/>
          <w:szCs w:val="17"/>
          <w:color w:val="auto"/>
        </w:rPr>
        <w:t>”), in order to, inter alia,</w:t>
      </w:r>
    </w:p>
    <w:p>
      <w:pPr>
        <w:spacing w:after="0" w:line="2" w:lineRule="exact"/>
        <w:rPr>
          <w:sz w:val="20"/>
          <w:szCs w:val="20"/>
          <w:color w:val="auto"/>
        </w:rPr>
      </w:pPr>
    </w:p>
    <w:p>
      <w:pPr>
        <w:ind w:left="4" w:right="40" w:hanging="4"/>
        <w:spacing w:after="0" w:line="253" w:lineRule="auto"/>
        <w:tabs>
          <w:tab w:leader="none" w:pos="2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with the Core Shareholder Protection Standards set out in Appendix A1 to the Hong Kong Listing Rules which require, among others, the holding of general meetings which shareholders can attend virtually with the use of technology and cast votes by electronic means, (ii) conform with the Corporate Governance Code set out in Appendix C1 to the Hong Kong Listing Rules which introduces, among others, the updated terms of reference of the nomination committee, and (iii) make housekeeping changes.</w:t>
      </w:r>
    </w:p>
    <w:p>
      <w:pPr>
        <w:spacing w:after="0" w:line="185"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The proposed amendments to the Existing Memorandum and Articles (the “</w:t>
      </w:r>
      <w:r>
        <w:rPr>
          <w:rFonts w:ascii="Times New Roman" w:cs="Times New Roman" w:eastAsia="Times New Roman" w:hAnsi="Times New Roman"/>
          <w:sz w:val="18"/>
          <w:szCs w:val="18"/>
          <w:b w:val="1"/>
          <w:bCs w:val="1"/>
          <w:color w:val="auto"/>
        </w:rPr>
        <w:t>Proposed Amendments</w:t>
      </w:r>
      <w:r>
        <w:rPr>
          <w:rFonts w:ascii="Times New Roman" w:cs="Times New Roman" w:eastAsia="Times New Roman" w:hAnsi="Times New Roman"/>
          <w:sz w:val="18"/>
          <w:szCs w:val="18"/>
          <w:color w:val="auto"/>
        </w:rPr>
        <w:t>”) and the proposed adoption of the New Memorandum and Articles shall be subject to the approval of the shareholders of the Company by way of a special resolution at the AGM. Details of the Proposed Amendments are set out in Appendix C to this proxy statement/circular.</w:t>
      </w:r>
    </w:p>
    <w:p>
      <w:pPr>
        <w:spacing w:after="0" w:line="171" w:lineRule="exact"/>
        <w:rPr>
          <w:sz w:val="20"/>
          <w:szCs w:val="20"/>
          <w:color w:val="auto"/>
        </w:rPr>
      </w:pPr>
    </w:p>
    <w:p>
      <w:pPr>
        <w:ind w:left="4" w:right="460"/>
        <w:spacing w:after="0" w:line="286" w:lineRule="auto"/>
        <w:rPr>
          <w:sz w:val="20"/>
          <w:szCs w:val="20"/>
          <w:color w:val="auto"/>
        </w:rPr>
      </w:pPr>
      <w:r>
        <w:rPr>
          <w:rFonts w:ascii="Times New Roman" w:cs="Times New Roman" w:eastAsia="Times New Roman" w:hAnsi="Times New Roman"/>
          <w:sz w:val="18"/>
          <w:szCs w:val="18"/>
          <w:color w:val="auto"/>
        </w:rPr>
        <w:t>The Existing Memorandum and Articles are available on the websites of the Company (</w:t>
      </w:r>
      <w:r>
        <w:rPr>
          <w:rFonts w:ascii="Times New Roman" w:cs="Times New Roman" w:eastAsia="Times New Roman" w:hAnsi="Times New Roman"/>
          <w:sz w:val="18"/>
          <w:szCs w:val="18"/>
          <w:b w:val="1"/>
          <w:bCs w:val="1"/>
          <w:u w:val="single" w:color="auto"/>
          <w:color w:val="auto"/>
        </w:rPr>
        <w:t>www.xiaopeng.com</w:t>
      </w:r>
      <w:r>
        <w:rPr>
          <w:rFonts w:ascii="Times New Roman" w:cs="Times New Roman" w:eastAsia="Times New Roman" w:hAnsi="Times New Roman"/>
          <w:sz w:val="18"/>
          <w:szCs w:val="18"/>
          <w:color w:val="auto"/>
        </w:rPr>
        <w:t>) and the Hong Kong Stock Exchange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General Effects of the Proposal</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Upon the approval of the Proposed Amendments and the adoption of the New Memorandum and Articles by the shareholders of the Company, the New Memorandum and Articles will become effective immediately and will be filed with the Cayman Islands Registrar of Companies.</w:t>
      </w:r>
    </w:p>
    <w:p>
      <w:pPr>
        <w:spacing w:after="0" w:line="162"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Our ADSs will continue to trade on the New York Stock Exchange under the symbol “XPEV”, and our Class A ordinary shares will continue to trade on the Hong Kong Stock Exchange under the stock code “09868”.</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Approval of this Proposal requires the favorable vote of at least a three-fourths majority of the votes cast by the shareholders of the Company entitled to vote who are present in person or by proxy at the AGM. For the purpose of this Proposal, weighted voting rights attached to our Class B ordinary shares would be disregarded. Broker non-votes and abstentions with respect to this Proposal will not be treated as votes cast for this purpose and, therefore, will not affect the outcome of the vote.</w:t>
      </w:r>
    </w:p>
    <w:p>
      <w:pPr>
        <w:spacing w:after="0" w:line="176" w:lineRule="exact"/>
        <w:rPr>
          <w:sz w:val="20"/>
          <w:szCs w:val="20"/>
          <w:color w:val="auto"/>
        </w:rPr>
      </w:pPr>
    </w:p>
    <w:p>
      <w:pPr>
        <w:ind w:left="4" w:right="54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shareholders vote FOR the resolution in relation to the Proposed Amendments and the adoption of the New Memorandum and Articles.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4"/>
          </w:cols>
          <w:pgMar w:left="436" w:top="266" w:right="45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DETAILS OF THE RETIRING DIRECTORS PROPOSED TO BE RE-ELECTED AT THE AGM</w:t>
      </w:r>
    </w:p>
    <w:p>
      <w:pPr>
        <w:spacing w:after="0" w:line="9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Pursuant to the Hong Kong Listing Rules, the details of each of the Retiring Directors, who will retire and being eligible, offer himself for re-election at the AGM, are provided below.</w:t>
      </w:r>
    </w:p>
    <w:p>
      <w:pPr>
        <w:spacing w:after="0" w:line="306" w:lineRule="exact"/>
        <w:rPr>
          <w:sz w:val="20"/>
          <w:szCs w:val="20"/>
          <w:color w:val="auto"/>
        </w:rPr>
      </w:pPr>
    </w:p>
    <w:p>
      <w:pPr>
        <w:ind w:left="444" w:right="8800" w:hanging="444"/>
        <w:spacing w:after="0" w:line="400" w:lineRule="auto"/>
        <w:tabs>
          <w:tab w:leader="none" w:pos="43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Mr. Donghao Yang </w:t>
      </w:r>
      <w:r>
        <w:rPr>
          <w:rFonts w:ascii="Times New Roman" w:cs="Times New Roman" w:eastAsia="Times New Roman" w:hAnsi="Times New Roman"/>
          <w:sz w:val="17"/>
          <w:szCs w:val="17"/>
          <w:i w:val="1"/>
          <w:iCs w:val="1"/>
          <w:color w:val="auto"/>
        </w:rPr>
        <w:t>Position and Experience</w:t>
      </w:r>
    </w:p>
    <w:p>
      <w:pPr>
        <w:ind w:left="444" w:right="140"/>
        <w:spacing w:after="0" w:line="219"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Mr. Yang, aged 54, is an independent non-executive Director. Mr. Yang has served as a director of Yatsen Holding Limited, a company listed on the NYSE (symbol: YSG), since July 2020 and the chief financial officer of Yatsen Holding Limited since November 2020. Mr. Yang has served as a director of Vipshop Holdings Ltd., a company listed on the NYSE (symbol: VIPS), since November 2020, and served as the chief financial officer of Vipshop Holdings Ltd. from August 2011 to November 2020. Mr. Yang served as an independent director of Qingmu Digital Technology Co., Ltd. (</w:t>
      </w:r>
      <w:r>
        <w:rPr>
          <w:rFonts w:ascii="PMingLiU" w:cs="PMingLiU" w:eastAsia="PMingLiU" w:hAnsi="PMingLiU"/>
          <w:sz w:val="15"/>
          <w:szCs w:val="15"/>
          <w:color w:val="auto"/>
        </w:rPr>
        <w:t>青木數字技術股份有限公司</w:t>
      </w:r>
      <w:r>
        <w:rPr>
          <w:rFonts w:ascii="Times New Roman" w:cs="Times New Roman" w:eastAsia="Times New Roman" w:hAnsi="Times New Roman"/>
          <w:sz w:val="17"/>
          <w:szCs w:val="17"/>
          <w:color w:val="auto"/>
        </w:rPr>
        <w:t>), a company listed on the ChiNext Market of the Shenzhen Stock Exchange (stock code: 301110), from July 2023 to January 2024. From 2010 to 2011, he served as the chief financial officer of Synutra International Inc., a company listed on the NASDAQ (symbol: SYUT). From 2007 to 2010, Mr. Yang served as the chief financial officer of Greater China region of Tyson Foods, Inc., a company listed on the NYSE (symbol: TSN). From 2003 to 2007, Mr. Yang served as a finance director of Valmont Industries (China) Co., Ltd, a subsidiary of Valmont Industries, Inc., a company listed on the NYSE (symbol: VMI). Mr. Yang acquired corporate governance experience through his positions as the chief financial officer and director of Vipshop Holdings Ltd. and also as the chief financial officer of Synutra International Inc. and Greater China region of Tyson Foods, Inc. His corporate governance experience includes, among others,</w:t>
      </w:r>
    </w:p>
    <w:p>
      <w:pPr>
        <w:spacing w:after="0" w:line="6" w:lineRule="exact"/>
        <w:rPr>
          <w:rFonts w:ascii="Times New Roman" w:cs="Times New Roman" w:eastAsia="Times New Roman" w:hAnsi="Times New Roman"/>
          <w:sz w:val="17"/>
          <w:szCs w:val="17"/>
          <w:b w:val="1"/>
          <w:bCs w:val="1"/>
          <w:color w:val="auto"/>
        </w:rPr>
      </w:pPr>
    </w:p>
    <w:p>
      <w:pPr>
        <w:ind w:left="444"/>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 reviewing, monitoring and implementing companies’ policies, practices and compliance, (ii) facilitating effective communication between the board of directors and management, (iii) reviewing related party transactions, and (iv) understanding the duty of directors to act in the best interests of the company and the shareholders as a whole. Mr. Yang received his master’s degree in business administration from Harvard Business School in June 2003, and his bachelor’s degree in international economics from Nankai University in July 1993.</w:t>
      </w:r>
    </w:p>
    <w:p>
      <w:pPr>
        <w:spacing w:after="0" w:line="81" w:lineRule="exact"/>
        <w:rPr>
          <w:sz w:val="20"/>
          <w:szCs w:val="20"/>
          <w:color w:val="auto"/>
        </w:rPr>
      </w:pPr>
    </w:p>
    <w:p>
      <w:pPr>
        <w:ind w:left="444" w:right="120"/>
        <w:spacing w:after="0" w:line="282" w:lineRule="auto"/>
        <w:rPr>
          <w:sz w:val="20"/>
          <w:szCs w:val="20"/>
          <w:color w:val="auto"/>
        </w:rPr>
      </w:pPr>
      <w:r>
        <w:rPr>
          <w:rFonts w:ascii="Times New Roman" w:cs="Times New Roman" w:eastAsia="Times New Roman" w:hAnsi="Times New Roman"/>
          <w:sz w:val="18"/>
          <w:szCs w:val="18"/>
          <w:color w:val="auto"/>
        </w:rPr>
        <w:t>Save as disclosed above, Mr. Yang has not held other directorships in the last three years in public companies the securities of which are listed on any securities market in Hong Kong or overseas.</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Length of service</w:t>
      </w:r>
    </w:p>
    <w:p>
      <w:pPr>
        <w:spacing w:after="0" w:line="119" w:lineRule="exact"/>
        <w:rPr>
          <w:sz w:val="20"/>
          <w:szCs w:val="20"/>
          <w:color w:val="auto"/>
        </w:rPr>
      </w:pPr>
    </w:p>
    <w:p>
      <w:pPr>
        <w:ind w:left="444" w:right="540"/>
        <w:spacing w:after="0" w:line="282" w:lineRule="auto"/>
        <w:rPr>
          <w:sz w:val="20"/>
          <w:szCs w:val="20"/>
          <w:color w:val="auto"/>
        </w:rPr>
      </w:pPr>
      <w:r>
        <w:rPr>
          <w:rFonts w:ascii="Times New Roman" w:cs="Times New Roman" w:eastAsia="Times New Roman" w:hAnsi="Times New Roman"/>
          <w:sz w:val="18"/>
          <w:szCs w:val="18"/>
          <w:color w:val="auto"/>
        </w:rPr>
        <w:t>Mr. Yang has entered into a letter of appointment with the Company for a term of three years commencing from July 7, 2024, subject to the retirement and rotation provisions as set out in the Existing Memorandum and Articles.</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Relationships</w:t>
      </w:r>
    </w:p>
    <w:p>
      <w:pPr>
        <w:spacing w:after="0" w:line="119" w:lineRule="exact"/>
        <w:rPr>
          <w:sz w:val="20"/>
          <w:szCs w:val="20"/>
          <w:color w:val="auto"/>
        </w:rPr>
      </w:pPr>
    </w:p>
    <w:p>
      <w:pPr>
        <w:ind w:left="444" w:right="40"/>
        <w:spacing w:after="0" w:line="266" w:lineRule="auto"/>
        <w:rPr>
          <w:sz w:val="20"/>
          <w:szCs w:val="20"/>
          <w:color w:val="auto"/>
        </w:rPr>
      </w:pPr>
      <w:r>
        <w:rPr>
          <w:rFonts w:ascii="Times New Roman" w:cs="Times New Roman" w:eastAsia="Times New Roman" w:hAnsi="Times New Roman"/>
          <w:sz w:val="18"/>
          <w:szCs w:val="18"/>
          <w:color w:val="auto"/>
        </w:rPr>
        <w:t>As far as the Directors are aware and as of the Latest Practicable Date, Mr. Yang does not have any other relationships with other Directors, senior management, substantial shareholders (as defined in the Hong Kong Listing Rules) or controlling shareholders (as defined in the Hong Kong Listing Rules) of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04"/>
          </w:cols>
          <w:pgMar w:left="436" w:top="266" w:right="45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Interests in Shares</w:t>
      </w:r>
    </w:p>
    <w:p>
      <w:pPr>
        <w:spacing w:after="0" w:line="119"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As far as the Directors are aware, as of the Latest Practicable Date, Mr. Yang was interested in 27,216 Class A ordinary shares of the Company pursuant to Part XV of the Securities and Futures Ordinance as set out below:</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4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Approximated</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40" w:type="dxa"/>
            <w:vAlign w:val="bottom"/>
          </w:tcPr>
          <w:p>
            <w:pPr>
              <w:jc w:val="right"/>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40" w:type="dxa"/>
            <w:vAlign w:val="bottom"/>
          </w:tcPr>
          <w:p>
            <w:pPr>
              <w:jc w:val="right"/>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interest of</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80" w:type="dxa"/>
            <w:vAlign w:val="bottom"/>
          </w:tcPr>
          <w:p>
            <w:pPr>
              <w:jc w:val="right"/>
              <w:ind w:right="261"/>
              <w:spacing w:after="0" w:line="160" w:lineRule="exact"/>
              <w:rPr>
                <w:sz w:val="20"/>
                <w:szCs w:val="20"/>
                <w:color w:val="auto"/>
              </w:rPr>
            </w:pPr>
            <w:r>
              <w:rPr>
                <w:rFonts w:ascii="Times New Roman" w:cs="Times New Roman" w:eastAsia="Times New Roman" w:hAnsi="Times New Roman"/>
                <w:sz w:val="14"/>
                <w:szCs w:val="14"/>
                <w:b w:val="1"/>
                <w:bCs w:val="1"/>
                <w:color w:val="auto"/>
              </w:rPr>
              <w:t>Number and</w:t>
            </w:r>
          </w:p>
        </w:tc>
        <w:tc>
          <w:tcPr>
            <w:tcW w:w="1540" w:type="dxa"/>
            <w:vAlign w:val="bottom"/>
          </w:tcPr>
          <w:p>
            <w:pPr>
              <w:jc w:val="right"/>
              <w:ind w:right="145"/>
              <w:spacing w:after="0" w:line="160" w:lineRule="exact"/>
              <w:rPr>
                <w:sz w:val="20"/>
                <w:szCs w:val="20"/>
                <w:color w:val="auto"/>
              </w:rPr>
            </w:pPr>
            <w:r>
              <w:rPr>
                <w:rFonts w:ascii="Times New Roman" w:cs="Times New Roman" w:eastAsia="Times New Roman" w:hAnsi="Times New Roman"/>
                <w:sz w:val="14"/>
                <w:szCs w:val="14"/>
                <w:b w:val="1"/>
                <w:bCs w:val="1"/>
                <w:color w:val="auto"/>
              </w:rPr>
              <w:t>each class of</w:t>
            </w:r>
          </w:p>
        </w:tc>
        <w:tc>
          <w:tcPr>
            <w:tcW w:w="0" w:type="dxa"/>
            <w:vAlign w:val="bottom"/>
          </w:tcPr>
          <w:p>
            <w:pPr>
              <w:spacing w:after="0"/>
              <w:rPr>
                <w:sz w:val="1"/>
                <w:szCs w:val="1"/>
                <w:color w:val="auto"/>
              </w:rPr>
            </w:pPr>
          </w:p>
        </w:tc>
      </w:tr>
      <w:tr>
        <w:trPr>
          <w:trHeight w:val="148"/>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Nature of Interest</w:t>
            </w:r>
          </w:p>
        </w:tc>
        <w:tc>
          <w:tcPr>
            <w:tcW w:w="288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Relevant Entity</w:t>
            </w:r>
          </w:p>
        </w:tc>
        <w:tc>
          <w:tcPr>
            <w:tcW w:w="1880" w:type="dxa"/>
            <w:vAlign w:val="bottom"/>
          </w:tcPr>
          <w:p>
            <w:pPr>
              <w:jc w:val="right"/>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Class of</w:t>
            </w:r>
          </w:p>
        </w:tc>
        <w:tc>
          <w:tcPr>
            <w:tcW w:w="1540" w:type="dxa"/>
            <w:vAlign w:val="bottom"/>
          </w:tcPr>
          <w:p>
            <w:pPr>
              <w:jc w:val="right"/>
              <w:ind w:right="145"/>
              <w:spacing w:after="0" w:line="149" w:lineRule="exact"/>
              <w:rPr>
                <w:sz w:val="20"/>
                <w:szCs w:val="20"/>
                <w:color w:val="auto"/>
              </w:rPr>
            </w:pPr>
            <w:r>
              <w:rPr>
                <w:rFonts w:ascii="Times New Roman" w:cs="Times New Roman" w:eastAsia="Times New Roman" w:hAnsi="Times New Roman"/>
                <w:sz w:val="14"/>
                <w:szCs w:val="14"/>
                <w:b w:val="1"/>
                <w:bCs w:val="1"/>
                <w:color w:val="auto"/>
              </w:rPr>
              <w:t>shares in</w:t>
            </w:r>
          </w:p>
        </w:tc>
        <w:tc>
          <w:tcPr>
            <w:tcW w:w="0" w:type="dxa"/>
            <w:vAlign w:val="bottom"/>
          </w:tcPr>
          <w:p>
            <w:pPr>
              <w:spacing w:after="0"/>
              <w:rPr>
                <w:sz w:val="1"/>
                <w:szCs w:val="1"/>
                <w:color w:val="auto"/>
              </w:rPr>
            </w:pPr>
          </w:p>
        </w:tc>
      </w:tr>
      <w:tr>
        <w:trPr>
          <w:trHeight w:val="176"/>
        </w:trPr>
        <w:tc>
          <w:tcPr>
            <w:tcW w:w="2960" w:type="dxa"/>
            <w:vAlign w:val="bottom"/>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8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0"/>
                <w:szCs w:val="10"/>
                <w:b w:val="1"/>
                <w:bCs w:val="1"/>
                <w:color w:val="auto"/>
              </w:rPr>
              <w:t>(2)</w:t>
            </w:r>
          </w:p>
        </w:tc>
        <w:tc>
          <w:tcPr>
            <w:tcW w:w="154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our Company</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Beneficial owner</w:t>
            </w:r>
            <w:r>
              <w:rPr>
                <w:rFonts w:ascii="Times New Roman" w:cs="Times New Roman" w:eastAsia="Times New Roman" w:hAnsi="Times New Roman"/>
                <w:sz w:val="22"/>
                <w:szCs w:val="22"/>
                <w:color w:val="auto"/>
                <w:vertAlign w:val="superscript"/>
              </w:rPr>
              <w:t>(1)</w:t>
            </w:r>
          </w:p>
        </w:tc>
        <w:tc>
          <w:tcPr>
            <w:tcW w:w="288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261"/>
              <w:spacing w:after="0" w:line="198" w:lineRule="exact"/>
              <w:rPr>
                <w:sz w:val="20"/>
                <w:szCs w:val="20"/>
                <w:color w:val="auto"/>
              </w:rPr>
            </w:pPr>
            <w:r>
              <w:rPr>
                <w:rFonts w:ascii="Times New Roman" w:cs="Times New Roman" w:eastAsia="Times New Roman" w:hAnsi="Times New Roman"/>
                <w:sz w:val="18"/>
                <w:szCs w:val="18"/>
                <w:color w:val="auto"/>
              </w:rPr>
              <w:t>27,216 Class A</w:t>
            </w: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spacing w:after="0"/>
              <w:rPr>
                <w:sz w:val="20"/>
                <w:szCs w:val="20"/>
                <w:color w:val="auto"/>
              </w:rPr>
            </w:pPr>
          </w:p>
        </w:tc>
        <w:tc>
          <w:tcPr>
            <w:tcW w:w="288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N/A</w:t>
            </w:r>
          </w:p>
        </w:tc>
        <w:tc>
          <w:tcPr>
            <w:tcW w:w="18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Ordinary Shares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33" w:lineRule="exact"/>
        <w:rPr>
          <w:sz w:val="20"/>
          <w:szCs w:val="20"/>
          <w:color w:val="auto"/>
        </w:rPr>
      </w:pPr>
    </w:p>
    <w:p>
      <w:pPr>
        <w:ind w:left="540" w:right="360" w:hanging="532"/>
        <w:spacing w:after="0" w:line="261"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Latest Practicable Date, Mr. Yang beneficially held 9,072 Class A Ordinary Shares, and he was interested in 18,144 Class A Ordinary Shares underlying 18,144 restricted share units granted to him under the 2019 Equity Incentive Plan.</w:t>
      </w:r>
    </w:p>
    <w:p>
      <w:pPr>
        <w:ind w:left="540" w:hanging="532"/>
        <w:spacing w:after="0" w:line="253"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Latest Practicable Date, the Company had 1,914,454,481 issued shares in total, comprising 1,565,746,224 Class A ordinary shares (including 59,496 Class A ordinary shares issued to our depository bank for bulk issuance of ADSs and reserved for future issuance upon the exercise or vesting of awards granted under our 2019 Equity Incentive Plan and 2025 Share Incentive Scheme) and 348,708,257 Class B ordinary shares.</w:t>
      </w:r>
    </w:p>
    <w:p>
      <w:pPr>
        <w:spacing w:after="0" w:line="81" w:lineRule="exact"/>
        <w:rPr>
          <w:sz w:val="20"/>
          <w:szCs w:val="20"/>
          <w:color w:val="auto"/>
        </w:rPr>
      </w:pPr>
    </w:p>
    <w:p>
      <w:pPr>
        <w:ind w:left="20" w:right="620"/>
        <w:spacing w:after="0" w:line="282" w:lineRule="auto"/>
        <w:rPr>
          <w:sz w:val="20"/>
          <w:szCs w:val="20"/>
          <w:color w:val="auto"/>
        </w:rPr>
      </w:pPr>
      <w:r>
        <w:rPr>
          <w:rFonts w:ascii="Times New Roman" w:cs="Times New Roman" w:eastAsia="Times New Roman" w:hAnsi="Times New Roman"/>
          <w:sz w:val="18"/>
          <w:szCs w:val="18"/>
          <w:color w:val="auto"/>
        </w:rPr>
        <w:t>Save as disclosed above, Mr. Yang does not have any interests in nor is he deemed to be interested in any shares or underlying shares and debentures of the Company or its associated corporations pursuant to Part XV of the Securities and Futures Ordinance.</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Director’s emoluments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Pursuant to the letter of appointment, unless the Board (or the compensation committee of the Board, as applicable) otherwise determines,</w:t>
      </w:r>
    </w:p>
    <w:p>
      <w:pPr>
        <w:spacing w:after="0" w:line="27" w:lineRule="exact"/>
        <w:rPr>
          <w:sz w:val="20"/>
          <w:szCs w:val="20"/>
          <w:color w:val="auto"/>
        </w:rPr>
      </w:pPr>
    </w:p>
    <w:p>
      <w:pPr>
        <w:jc w:val="both"/>
        <w:ind w:left="20" w:right="120"/>
        <w:spacing w:after="0" w:line="255" w:lineRule="auto"/>
        <w:rPr>
          <w:sz w:val="20"/>
          <w:szCs w:val="20"/>
          <w:color w:val="auto"/>
        </w:rPr>
      </w:pPr>
      <w:r>
        <w:rPr>
          <w:rFonts w:ascii="Times New Roman" w:cs="Times New Roman" w:eastAsia="Times New Roman" w:hAnsi="Times New Roman"/>
          <w:sz w:val="18"/>
          <w:szCs w:val="18"/>
          <w:color w:val="auto"/>
        </w:rPr>
        <w:t>Mr. Yang is entitled to an annual director’s fee of US$20,000. Mr. Yang is also entitled to receive director’s emoluments in the form of restricted share units of 27,216, the vesting of which is subject to the terms and conditions in the award agreement entered into between Mr. Yang and the Company dated July 12, 2024 under the 2019 Equity Incentive Plan.</w:t>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Information that needs to be disclosed and matters that need to be brought to the attention of the Shareholders</w:t>
      </w:r>
    </w:p>
    <w:p>
      <w:pPr>
        <w:spacing w:after="0" w:line="119" w:lineRule="exact"/>
        <w:rPr>
          <w:sz w:val="20"/>
          <w:szCs w:val="20"/>
          <w:color w:val="auto"/>
        </w:rPr>
      </w:pPr>
    </w:p>
    <w:p>
      <w:pPr>
        <w:ind w:left="20" w:right="200"/>
        <w:spacing w:after="0" w:line="266" w:lineRule="auto"/>
        <w:rPr>
          <w:sz w:val="20"/>
          <w:szCs w:val="20"/>
          <w:color w:val="auto"/>
        </w:rPr>
      </w:pPr>
      <w:r>
        <w:rPr>
          <w:rFonts w:ascii="Times New Roman" w:cs="Times New Roman" w:eastAsia="Times New Roman" w:hAnsi="Times New Roman"/>
          <w:sz w:val="18"/>
          <w:szCs w:val="18"/>
          <w:color w:val="auto"/>
        </w:rPr>
        <w:t>As far as the Directors are aware, save as disclosed above, there is no other information of Mr. Yang to be disclosed pursuant to any of the requirements under paragraphs 13.51(2)(h) to 13.51(2)(v) of the Hong Kong Listing Rules; and there are no other matters concerning Mr. Yang that need to be brought to the attention of the shareholders of the Company.</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0520"/>
          </w:cols>
          <w:pgMar w:left="860" w:top="268" w:right="519" w:bottom="1440" w:gutter="0" w:footer="0" w:header="0"/>
        </w:sectPr>
      </w:pPr>
    </w:p>
    <w:bookmarkStart w:id="25" w:name="page26"/>
    <w:bookmarkEnd w:id="25"/>
    <w:p>
      <w:pPr>
        <w:ind w:left="444" w:right="8800" w:hanging="444"/>
        <w:spacing w:after="0" w:line="400" w:lineRule="auto"/>
        <w:tabs>
          <w:tab w:leader="none" w:pos="436"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Mr. HongJiang Zhang </w:t>
      </w:r>
      <w:r>
        <w:rPr>
          <w:rFonts w:ascii="Times New Roman" w:cs="Times New Roman" w:eastAsia="Times New Roman" w:hAnsi="Times New Roman"/>
          <w:sz w:val="17"/>
          <w:szCs w:val="17"/>
          <w:i w:val="1"/>
          <w:iCs w:val="1"/>
          <w:color w:val="auto"/>
        </w:rPr>
        <w:t>Position and Experience</w:t>
      </w:r>
    </w:p>
    <w:p>
      <w:pPr>
        <w:ind w:left="444"/>
        <w:spacing w:after="0" w:line="219"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Mr. Zhang, aged 65, is an independent non-executive Director. Mr. Zhang has served as a senior adviser of Carlyle Group since May 2018 and a venture partner at Source Code Capital since December 2016. From October 2011 to November 2016, he served as the chief executive officer and an executive director of Kingsoft Corporation Limited, a company listed on the Hong Kong Stock Exchange (stock code: 3888), and as the founder and the chief executive officer of Kingsoft Cloud Holdings Limited, a company listed on the NASDAQ (symbol: KC) and on the Hong Kong Stock Exchange (stock code: 3896). From April 1999 to October 2011, Mr. Zhang served as the chief technology officer of the Microsoft Asia-Pacific Research and Development Group. Mr. Zhang was appointed as a Microsoft Distinguished Scientist in 2010. Mr. Zhang has served as an independent director of Zepp Health Corp., a company listed on the NYSE (symbol: ZEPP), since February 2018, and an independent non-executive director and chairman of AAC Technologies Holding Inc., a company listed on the Hong Kong Stock Exchange (stock code: 2018), since January 2019 and May 2020, respectively. He has also served as an independent non-executive director of BabyTree Group, a company listed on the Hong Kong Stock Exchange (stock code: 1761), from November 2018 to August 2022, and an independent director of Digital China Group Co., Ltd. (</w:t>
      </w:r>
      <w:r>
        <w:rPr>
          <w:rFonts w:ascii="PMingLiU" w:cs="PMingLiU" w:eastAsia="PMingLiU" w:hAnsi="PMingLiU"/>
          <w:sz w:val="16"/>
          <w:szCs w:val="16"/>
          <w:color w:val="auto"/>
        </w:rPr>
        <w:t>神州數碼集團股份有限公司</w:t>
      </w:r>
      <w:r>
        <w:rPr>
          <w:rFonts w:ascii="Times New Roman" w:cs="Times New Roman" w:eastAsia="Times New Roman" w:hAnsi="Times New Roman"/>
          <w:sz w:val="18"/>
          <w:szCs w:val="18"/>
          <w:color w:val="auto"/>
        </w:rPr>
        <w:t>), a company listed on the Shenzhen Stock Exchange (stock code: 000034) from September 2017 to April 2021. Mr. Zhang was appointed as an independent director of Ant Group Co., Ltd. (</w:t>
      </w:r>
      <w:r>
        <w:rPr>
          <w:rFonts w:ascii="PMingLiU" w:cs="PMingLiU" w:eastAsia="PMingLiU" w:hAnsi="PMingLiU"/>
          <w:sz w:val="16"/>
          <w:szCs w:val="16"/>
          <w:color w:val="auto"/>
        </w:rPr>
        <w:t>螞蟻科技集團股份有限公司</w:t>
      </w:r>
      <w:r>
        <w:rPr>
          <w:rFonts w:ascii="Times New Roman" w:cs="Times New Roman" w:eastAsia="Times New Roman" w:hAnsi="Times New Roman"/>
          <w:sz w:val="18"/>
          <w:szCs w:val="18"/>
          <w:color w:val="auto"/>
        </w:rPr>
        <w:t>) in September 2024.</w:t>
      </w:r>
    </w:p>
    <w:p>
      <w:pPr>
        <w:spacing w:after="0" w:line="5" w:lineRule="exact"/>
        <w:rPr>
          <w:rFonts w:ascii="Times New Roman" w:cs="Times New Roman" w:eastAsia="Times New Roman" w:hAnsi="Times New Roman"/>
          <w:sz w:val="17"/>
          <w:szCs w:val="17"/>
          <w:b w:val="1"/>
          <w:bCs w:val="1"/>
          <w:color w:val="auto"/>
        </w:rPr>
      </w:pPr>
    </w:p>
    <w:p>
      <w:pPr>
        <w:ind w:left="444" w:right="1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Mr. Zhang has accumulated extensive corporate governance experience through his positions as an independent non-executive director and independent director of Zepp Health Corp., AAC Technologies Holding Inc., BabyTree Group, Digital China Group Co., Ltd and Ant Group Co., Ltd. His corporate governance experience includes, among others, (i) reviewing, monitoring and providing recommendations as to companies’ policies, practices and compliance, (ii) facilitating effective communication between the board of directors and management, (iii) reviewing and opining on connected transactions, and (iv) understanding the requirements of the Hong Kong Listing Rules and directors’ duty to act in the best interests of the company and the shareholders as a whole. Mr. Zhang received his Ph.D. in electronic engineering from Technical University of Denmark in October 1991, and his bachelor of science degree in radio electronics from Zhengzhou University in July 1982.</w:t>
      </w:r>
    </w:p>
    <w:p>
      <w:pPr>
        <w:spacing w:after="0" w:line="81" w:lineRule="exact"/>
        <w:rPr>
          <w:rFonts w:ascii="Times New Roman" w:cs="Times New Roman" w:eastAsia="Times New Roman" w:hAnsi="Times New Roman"/>
          <w:sz w:val="17"/>
          <w:szCs w:val="17"/>
          <w:b w:val="1"/>
          <w:bCs w:val="1"/>
          <w:color w:val="auto"/>
        </w:rPr>
      </w:pPr>
    </w:p>
    <w:p>
      <w:pPr>
        <w:ind w:left="444"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Save as disclosed above, Mr. Zhang has not held other directorships in the last three years in public companies the securities of which are listed on any securities market in Hong Kong or overseas.</w:t>
      </w:r>
    </w:p>
    <w:p>
      <w:pPr>
        <w:spacing w:after="0" w:line="267"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Length of service</w:t>
      </w:r>
    </w:p>
    <w:p>
      <w:pPr>
        <w:spacing w:after="0" w:line="119" w:lineRule="exact"/>
        <w:rPr>
          <w:rFonts w:ascii="Times New Roman" w:cs="Times New Roman" w:eastAsia="Times New Roman" w:hAnsi="Times New Roman"/>
          <w:sz w:val="17"/>
          <w:szCs w:val="17"/>
          <w:b w:val="1"/>
          <w:bCs w:val="1"/>
          <w:color w:val="auto"/>
        </w:rPr>
      </w:pPr>
    </w:p>
    <w:p>
      <w:pPr>
        <w:ind w:left="444" w:right="4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Mr. Zhang has entered into a letter of appointment with the Company for a term of three years commencing from July 7, 2024, subject to the retirement and rotation provisions as set out in the Existing Memorandum and Articles.</w:t>
      </w:r>
    </w:p>
    <w:p>
      <w:pPr>
        <w:spacing w:after="0" w:line="267"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Relationships</w:t>
      </w:r>
    </w:p>
    <w:p>
      <w:pPr>
        <w:spacing w:after="0" w:line="119" w:lineRule="exact"/>
        <w:rPr>
          <w:rFonts w:ascii="Times New Roman" w:cs="Times New Roman" w:eastAsia="Times New Roman" w:hAnsi="Times New Roman"/>
          <w:sz w:val="17"/>
          <w:szCs w:val="17"/>
          <w:b w:val="1"/>
          <w:bCs w:val="1"/>
          <w:color w:val="auto"/>
        </w:rPr>
      </w:pPr>
    </w:p>
    <w:p>
      <w:pPr>
        <w:ind w:left="444" w:right="3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far as the Directors are aware and as of the Latest Practicable Date, Mr. Zhang does not have any relationships with other Directors, senior management, substantial shareholders (as defined in the Hong Kong Listing Rules) or controlling shareholders (as defined in the Hong Kong Listing Rules) of the Company.</w:t>
      </w:r>
    </w:p>
    <w:p>
      <w:pPr>
        <w:spacing w:after="0" w:line="108" w:lineRule="exact"/>
        <w:rPr>
          <w:rFonts w:ascii="Times New Roman" w:cs="Times New Roman" w:eastAsia="Times New Roman" w:hAnsi="Times New Roman"/>
          <w:sz w:val="17"/>
          <w:szCs w:val="17"/>
          <w:b w:val="1"/>
          <w:bCs w:val="1"/>
          <w:color w:val="auto"/>
        </w:rPr>
      </w:pPr>
    </w:p>
    <w:p>
      <w:pPr>
        <w:ind w:left="5424" w:hanging="111"/>
        <w:spacing w:after="0"/>
        <w:tabs>
          <w:tab w:leader="none" w:pos="5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004"/>
          </w:cols>
          <w:pgMar w:left="436" w:top="266" w:right="459" w:bottom="1440" w:gutter="0" w:footer="0" w:header="0"/>
        </w:sectPr>
      </w:pPr>
    </w:p>
    <w:bookmarkStart w:id="26" w:name="page27"/>
    <w:bookmarkEnd w:id="26"/>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Interests in Shares</w:t>
      </w:r>
    </w:p>
    <w:p>
      <w:pPr>
        <w:spacing w:after="0" w:line="119" w:lineRule="exact"/>
        <w:rPr>
          <w:sz w:val="20"/>
          <w:szCs w:val="20"/>
          <w:color w:val="auto"/>
        </w:rPr>
      </w:pPr>
    </w:p>
    <w:p>
      <w:pPr>
        <w:jc w:val="both"/>
        <w:ind w:left="444" w:right="160"/>
        <w:spacing w:after="0" w:line="266" w:lineRule="auto"/>
        <w:rPr>
          <w:sz w:val="20"/>
          <w:szCs w:val="20"/>
          <w:color w:val="auto"/>
        </w:rPr>
      </w:pPr>
      <w:r>
        <w:rPr>
          <w:rFonts w:ascii="Times New Roman" w:cs="Times New Roman" w:eastAsia="Times New Roman" w:hAnsi="Times New Roman"/>
          <w:sz w:val="18"/>
          <w:szCs w:val="18"/>
          <w:color w:val="auto"/>
        </w:rPr>
        <w:t>As far as the Directors are aware, as of the Latest Practicable Date, Mr. Zhang does not have any interests in nor is he deemed to be interested in any shares or underlying shares and debentures of the Company or its associated corporations pursuant to Part XV of the Securities and Futures Ordinance.</w:t>
      </w:r>
    </w:p>
    <w:p>
      <w:pPr>
        <w:spacing w:after="0" w:line="2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Director’s emoluments</w:t>
      </w:r>
    </w:p>
    <w:p>
      <w:pPr>
        <w:spacing w:after="0" w:line="119" w:lineRule="exact"/>
        <w:rPr>
          <w:sz w:val="20"/>
          <w:szCs w:val="20"/>
          <w:color w:val="auto"/>
        </w:rPr>
      </w:pPr>
    </w:p>
    <w:p>
      <w:pPr>
        <w:ind w:left="444" w:right="600"/>
        <w:spacing w:after="0" w:line="282" w:lineRule="auto"/>
        <w:rPr>
          <w:sz w:val="20"/>
          <w:szCs w:val="20"/>
          <w:color w:val="auto"/>
        </w:rPr>
      </w:pPr>
      <w:r>
        <w:rPr>
          <w:rFonts w:ascii="Times New Roman" w:cs="Times New Roman" w:eastAsia="Times New Roman" w:hAnsi="Times New Roman"/>
          <w:sz w:val="18"/>
          <w:szCs w:val="18"/>
          <w:color w:val="auto"/>
        </w:rPr>
        <w:t>Pursuant to the letter of appointment, unless the Board (or the compensation committee of the Board, as applicable) otherwise determines, Mr. Zhang is entitled to an annual director’s fee of US$80,000.</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Information that needs to be disclosed and matters that need to be brought to the attention of the Shareholders</w:t>
      </w:r>
    </w:p>
    <w:p>
      <w:pPr>
        <w:spacing w:after="0" w:line="119" w:lineRule="exact"/>
        <w:rPr>
          <w:sz w:val="20"/>
          <w:szCs w:val="20"/>
          <w:color w:val="auto"/>
        </w:rPr>
      </w:pPr>
    </w:p>
    <w:p>
      <w:pPr>
        <w:ind w:left="444" w:right="140"/>
        <w:spacing w:after="0" w:line="266" w:lineRule="auto"/>
        <w:rPr>
          <w:sz w:val="20"/>
          <w:szCs w:val="20"/>
          <w:color w:val="auto"/>
        </w:rPr>
      </w:pPr>
      <w:r>
        <w:rPr>
          <w:rFonts w:ascii="Times New Roman" w:cs="Times New Roman" w:eastAsia="Times New Roman" w:hAnsi="Times New Roman"/>
          <w:sz w:val="18"/>
          <w:szCs w:val="18"/>
          <w:color w:val="auto"/>
        </w:rPr>
        <w:t>As far as the Directors are aware, save as disclosed above, there is no other information of Mr. Zhang to be disclosed pursuant to any of the requirements under paragraphs 13.51(2)(h) to 13.51(2)(v) of the Hong Kong Listing Rules; and there are no other matters concerning Mr. Zhang that need to be brought to the attention of the shareholders of the Company.</w:t>
      </w:r>
    </w:p>
    <w:p>
      <w:pPr>
        <w:spacing w:after="0" w:line="320" w:lineRule="exact"/>
        <w:rPr>
          <w:sz w:val="20"/>
          <w:szCs w:val="20"/>
          <w:color w:val="auto"/>
        </w:rPr>
      </w:pPr>
    </w:p>
    <w:p>
      <w:pPr>
        <w:ind w:left="444" w:right="8780" w:hanging="444"/>
        <w:spacing w:after="0" w:line="400" w:lineRule="auto"/>
        <w:tabs>
          <w:tab w:leader="none" w:pos="436"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Mr. Yudong Chen </w:t>
      </w:r>
      <w:r>
        <w:rPr>
          <w:rFonts w:ascii="Times New Roman" w:cs="Times New Roman" w:eastAsia="Times New Roman" w:hAnsi="Times New Roman"/>
          <w:sz w:val="17"/>
          <w:szCs w:val="17"/>
          <w:i w:val="1"/>
          <w:iCs w:val="1"/>
          <w:color w:val="auto"/>
        </w:rPr>
        <w:t>Position and Experience</w:t>
      </w:r>
    </w:p>
    <w:p>
      <w:pPr>
        <w:ind w:left="444"/>
        <w:spacing w:after="0" w:line="223"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Mr. Chen, aged 64, is an independent non-executive Director. Mr. Chen has been serving as an independent director of Friend Co., Ltd. (</w:t>
      </w:r>
      <w:r>
        <w:rPr>
          <w:rFonts w:ascii="PMingLiU" w:cs="PMingLiU" w:eastAsia="PMingLiU" w:hAnsi="PMingLiU"/>
          <w:sz w:val="16"/>
          <w:szCs w:val="16"/>
          <w:color w:val="auto"/>
        </w:rPr>
        <w:t>福然德股份有限公司</w:t>
      </w:r>
      <w:r>
        <w:rPr>
          <w:rFonts w:ascii="Times New Roman" w:cs="Times New Roman" w:eastAsia="Times New Roman" w:hAnsi="Times New Roman"/>
          <w:sz w:val="18"/>
          <w:szCs w:val="18"/>
          <w:color w:val="auto"/>
        </w:rPr>
        <w:t>) (a company listed on the Shanghai Stock Exchange with stock code: 605050.SH) since April 2024 and served as a director of Weifu High-Technology Group Co., Ltd. (</w:t>
      </w:r>
      <w:r>
        <w:rPr>
          <w:rFonts w:ascii="PMingLiU" w:cs="PMingLiU" w:eastAsia="PMingLiU" w:hAnsi="PMingLiU"/>
          <w:sz w:val="16"/>
          <w:szCs w:val="16"/>
          <w:color w:val="auto"/>
        </w:rPr>
        <w:t>無錫威孚高科技集團股份有限公司</w:t>
      </w:r>
      <w:r>
        <w:rPr>
          <w:rFonts w:ascii="Times New Roman" w:cs="Times New Roman" w:eastAsia="Times New Roman" w:hAnsi="Times New Roman"/>
          <w:sz w:val="18"/>
          <w:szCs w:val="18"/>
          <w:color w:val="auto"/>
        </w:rPr>
        <w:t>) (a company listed on the Shenzhen Stock Exchange with stock code 000581.SZ) from March 2012 to May 2024. From May 2008 to December 2023, Mr. Chen successively served as the executive vice president and the president of Bosch (China) Investment Co., Ltd. (</w:t>
      </w:r>
      <w:r>
        <w:rPr>
          <w:rFonts w:ascii="PMingLiU" w:cs="PMingLiU" w:eastAsia="PMingLiU" w:hAnsi="PMingLiU"/>
          <w:sz w:val="16"/>
          <w:szCs w:val="16"/>
          <w:color w:val="auto"/>
        </w:rPr>
        <w:t>博世（中國）投資有限公司</w:t>
      </w:r>
      <w:r>
        <w:rPr>
          <w:rFonts w:ascii="Times New Roman" w:cs="Times New Roman" w:eastAsia="Times New Roman" w:hAnsi="Times New Roman"/>
          <w:sz w:val="18"/>
          <w:szCs w:val="18"/>
          <w:color w:val="auto"/>
        </w:rPr>
        <w:t>). Mr. Chen served as the vice president of gasoline engine system division of Bosch Group from February 2007 to May 2008. Mr. Chen served as the chief engineer of Greater China division, commercial director and general manager of the business unit of China division of Delphi Automotive Group from December 1998 to January 2006. Mr. Chen obtained his bachelor’s degree in electric motor from Chongqing University in July 1982. He also studied at University of Michigan from August 1987 to June 1991 and obtained his master’s and doctor’s degree in machinery manufacturing. Mr. Chen also obtained a master’s degree in business administration from Michigan State University in May 1998. Mr. Chen was awarded, among others, the Outstanding Entrepreneur of Shanghai (</w:t>
      </w:r>
      <w:r>
        <w:rPr>
          <w:rFonts w:ascii="PMingLiU" w:cs="PMingLiU" w:eastAsia="PMingLiU" w:hAnsi="PMingLiU"/>
          <w:sz w:val="16"/>
          <w:szCs w:val="16"/>
          <w:color w:val="auto"/>
        </w:rPr>
        <w:t>上海市優秀企業家</w:t>
      </w:r>
      <w:r>
        <w:rPr>
          <w:rFonts w:ascii="Times New Roman" w:cs="Times New Roman" w:eastAsia="Times New Roman" w:hAnsi="Times New Roman"/>
          <w:sz w:val="18"/>
          <w:szCs w:val="18"/>
          <w:color w:val="auto"/>
        </w:rPr>
        <w:t>) and the Outstanding Figure Commemorating the 40th Anniversary of Reform and Opening Up in China’s Automotive Industry (</w:t>
      </w:r>
      <w:r>
        <w:rPr>
          <w:rFonts w:ascii="PMingLiU" w:cs="PMingLiU" w:eastAsia="PMingLiU" w:hAnsi="PMingLiU"/>
          <w:sz w:val="16"/>
          <w:szCs w:val="16"/>
          <w:color w:val="auto"/>
        </w:rPr>
        <w:t>中國汽車產業紀念改革開放</w:t>
      </w:r>
      <w:r>
        <w:rPr>
          <w:rFonts w:ascii="Times New Roman" w:cs="Times New Roman" w:eastAsia="Times New Roman" w:hAnsi="Times New Roman"/>
          <w:sz w:val="18"/>
          <w:szCs w:val="18"/>
          <w:color w:val="auto"/>
        </w:rPr>
        <w:t>40</w:t>
      </w:r>
      <w:r>
        <w:rPr>
          <w:rFonts w:ascii="PMingLiU" w:cs="PMingLiU" w:eastAsia="PMingLiU" w:hAnsi="PMingLiU"/>
          <w:sz w:val="16"/>
          <w:szCs w:val="16"/>
          <w:color w:val="auto"/>
        </w:rPr>
        <w:t>週年傑出人物</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7"/>
          <w:szCs w:val="17"/>
          <w:b w:val="1"/>
          <w:bCs w:val="1"/>
          <w:color w:val="auto"/>
        </w:rPr>
      </w:pPr>
    </w:p>
    <w:p>
      <w:pPr>
        <w:ind w:left="444" w:right="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Save as disclosed above, Mr. Chen has not held other directorships in the last three years in public companies the securities of which are listed on any securities market in Hong Kong or overseas.</w:t>
      </w:r>
    </w:p>
    <w:p>
      <w:pPr>
        <w:spacing w:after="0" w:line="267"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Length of service</w:t>
      </w:r>
    </w:p>
    <w:p>
      <w:pPr>
        <w:spacing w:after="0" w:line="119" w:lineRule="exact"/>
        <w:rPr>
          <w:rFonts w:ascii="Times New Roman" w:cs="Times New Roman" w:eastAsia="Times New Roman" w:hAnsi="Times New Roman"/>
          <w:sz w:val="17"/>
          <w:szCs w:val="17"/>
          <w:b w:val="1"/>
          <w:bCs w:val="1"/>
          <w:color w:val="auto"/>
        </w:rPr>
      </w:pPr>
    </w:p>
    <w:p>
      <w:pPr>
        <w:ind w:left="444" w:right="2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Mr. Chen has entered into a letter of appointment with the Company for a term of three years commencing from January 1, 2026, subject to the retirement and rotation provisions as set out in the Existing Memorandum and Articles.</w:t>
      </w:r>
    </w:p>
    <w:p>
      <w:pPr>
        <w:spacing w:after="0" w:line="94" w:lineRule="exact"/>
        <w:rPr>
          <w:rFonts w:ascii="Times New Roman" w:cs="Times New Roman" w:eastAsia="Times New Roman" w:hAnsi="Times New Roman"/>
          <w:sz w:val="17"/>
          <w:szCs w:val="17"/>
          <w:b w:val="1"/>
          <w:bCs w:val="1"/>
          <w:color w:val="auto"/>
        </w:rPr>
      </w:pPr>
    </w:p>
    <w:p>
      <w:pPr>
        <w:ind w:left="5424" w:hanging="111"/>
        <w:spacing w:after="0"/>
        <w:tabs>
          <w:tab w:leader="none" w:pos="54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984"/>
          </w:cols>
          <w:pgMar w:left="436" w:top="268"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Relationships</w:t>
      </w:r>
    </w:p>
    <w:p>
      <w:pPr>
        <w:spacing w:after="0" w:line="1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far as the Directors are aware and as of the Latest Practicable Date, Mr. Chen does not have any relationships with other Directors, senior management, substantial shareholders (as defined in the Hong Kong Listing Rules) or controlling shareholders (as defined in the Hong Kong Listing Rules) of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Interests in Shares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far as the Directors are aware, as of the Latest Practicable Date, Mr. Chen does not have any interests in nor is he deemed to be interested in any shares or underlying shares and debentures of the Company or its associated corporations pursuant to Part XV of the Securities and Futures Ordinance.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emoluments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letter of appointment, unless the Board (or the compensation committee of the Board, as applicable) otherwise determines, Mr. Chen is entitled to an annual director’s fee of US$80,000.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that needs to be disclosed and matters that need to be brought to the attention of the Shareholders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far as the Directors are aware, save as disclosed above, there is no other information of Mr. Chen to be disclosed pursuant to any of the requirements under paragraphs 13.51(2)(h) to 13.51(2)(v) of the Hong Kong Listing Rules; and there are no other matters concerning Mr. Chen that need to be brought to the attention of the shareholders of the Company.</w:t>
      </w:r>
    </w:p>
    <w:p>
      <w:pPr>
        <w:spacing w:after="0" w:line="10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0340"/>
          </w:cols>
          <w:pgMar w:left="880" w:top="268" w:right="67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EXPLANATORY STATEMENT OF THE REPURCHASE MANDATE</w:t>
      </w:r>
    </w:p>
    <w:p>
      <w:pPr>
        <w:spacing w:after="0" w:line="99"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The following is an explanatory statement required by the Hong Kong Listing Rules to be sent to the shareholders of the Company to enable them to make an informed decision on whether to vote for or against the ordinary resolution to be proposed at the AGM in relation to the granting of the Repurchase Mandate.</w:t>
      </w:r>
    </w:p>
    <w:p>
      <w:pPr>
        <w:spacing w:after="0" w:line="320"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REPURCHASE OF SHARES AND/OR ADSS</w:t>
      </w:r>
    </w:p>
    <w:p>
      <w:pPr>
        <w:spacing w:after="0" w:line="121" w:lineRule="exact"/>
        <w:rPr>
          <w:rFonts w:ascii="Times New Roman" w:cs="Times New Roman" w:eastAsia="Times New Roman" w:hAnsi="Times New Roman"/>
          <w:sz w:val="18"/>
          <w:szCs w:val="18"/>
          <w:b w:val="1"/>
          <w:bCs w:val="1"/>
          <w:color w:val="auto"/>
        </w:rPr>
      </w:pPr>
    </w:p>
    <w:p>
      <w:pPr>
        <w:ind w:left="444"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believe that the granting of the Repurchase Mandate is in the interests of the Company and the shareholders of the Company as a whole.</w:t>
      </w:r>
    </w:p>
    <w:p>
      <w:pPr>
        <w:spacing w:after="0" w:line="53" w:lineRule="exact"/>
        <w:rPr>
          <w:rFonts w:ascii="Times New Roman" w:cs="Times New Roman" w:eastAsia="Times New Roman" w:hAnsi="Times New Roman"/>
          <w:sz w:val="18"/>
          <w:szCs w:val="18"/>
          <w:b w:val="1"/>
          <w:bCs w:val="1"/>
          <w:color w:val="auto"/>
        </w:rPr>
      </w:pPr>
    </w:p>
    <w:p>
      <w:pPr>
        <w:ind w:left="444"/>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Repurchases of shares and/or ADSs may, depending on the market conditions and funding arrangements at the time, lead to an enhancement of the net asset value per share and/or earnings per share. The Directors are seeking the granting of the Repurchase Mandate to give the Company the flexibility to do so if and when appropriate. The number of shares and/or ADSs to be repurchased on any occasion and the price and other terms upon which the same are repurchased will be decided by the Directors at the relevant time, having regard to the circumstances then pertaining.</w:t>
      </w:r>
    </w:p>
    <w:p>
      <w:pPr>
        <w:spacing w:after="0" w:line="56" w:lineRule="exact"/>
        <w:rPr>
          <w:rFonts w:ascii="Times New Roman" w:cs="Times New Roman" w:eastAsia="Times New Roman" w:hAnsi="Times New Roman"/>
          <w:sz w:val="18"/>
          <w:szCs w:val="18"/>
          <w:b w:val="1"/>
          <w:bCs w:val="1"/>
          <w:color w:val="auto"/>
        </w:rPr>
      </w:pPr>
    </w:p>
    <w:p>
      <w:pPr>
        <w:ind w:left="444"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would only exercise the power to repurchase in circumstances where they consider that the repurchase would be in the best interests of the Company and the shareholders of the Company as a whole.</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the Latest Practicable Date, the issued share capital of the Company comprised 1,914,454,481 shares, out of which 1,565,746,224 were Class A Ordinary Shares and 348,708,257 were Class B Ordinary Shares. Subject to the passing of the ordinary resolution set out in item 8 of the notice of the AGM in respect of the granting of the Repurchase Mandate and on the basis that the issued share capital of the Company (excluding treasury shares) remains unchanged as of the date of the AGM, i.e. being 1,914,454,481 shares, the Directors would be authorized under the Repurchase Mandate to repurchase, during the period in which the Repurchase Mandate remains in force, up to a maximum of 191,445,448 shares, representing 10% of the total number of the issued shares (excluding treasury shares) of the Company as of the date of the AGM.</w:t>
      </w:r>
    </w:p>
    <w:p>
      <w:pPr>
        <w:spacing w:after="0" w:line="64"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stated in proposal 8 in the proxy statement/circular of the AGM, if the Company purchases any Class A Ordinary Shares and/or ADSs pursuant to the Repurchase Mandate, the Company will either (i) cancel the Class A Ordinary Shares and/or the Class A Ordinary Shares underlying ADSs repurchased and/or (ii) hold such Class A Ordinary Shares and/or the Class A Ordinary Shares underlying ADSs in treasury, subject to market conditions and the Company’s capital management needs at the relevant time any repurchases of shares are made.</w:t>
      </w:r>
    </w:p>
    <w:p>
      <w:pPr>
        <w:spacing w:after="0" w:line="67" w:lineRule="exact"/>
        <w:rPr>
          <w:rFonts w:ascii="Times New Roman" w:cs="Times New Roman" w:eastAsia="Times New Roman" w:hAnsi="Times New Roman"/>
          <w:sz w:val="18"/>
          <w:szCs w:val="18"/>
          <w:b w:val="1"/>
          <w:bCs w:val="1"/>
          <w:color w:val="auto"/>
        </w:rPr>
      </w:pPr>
    </w:p>
    <w:p>
      <w:pPr>
        <w:ind w:left="444"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any treasury shares are deposited with Central Clearing and Settlement System (“</w:t>
      </w:r>
      <w:r>
        <w:rPr>
          <w:rFonts w:ascii="Times New Roman" w:cs="Times New Roman" w:eastAsia="Times New Roman" w:hAnsi="Times New Roman"/>
          <w:sz w:val="18"/>
          <w:szCs w:val="18"/>
          <w:b w:val="1"/>
          <w:bCs w:val="1"/>
          <w:color w:val="auto"/>
        </w:rPr>
        <w:t>CCASS</w:t>
      </w:r>
      <w:r>
        <w:rPr>
          <w:rFonts w:ascii="Times New Roman" w:cs="Times New Roman" w:eastAsia="Times New Roman" w:hAnsi="Times New Roman"/>
          <w:sz w:val="18"/>
          <w:szCs w:val="18"/>
          <w:color w:val="auto"/>
        </w:rPr>
        <w:t>”) pending resale on the Hong Kong Stock Exchange, the Company will adopt appropriate measures to ensure that it does not exercise any shareholders’ rights or receive any entitlements which would otherwise be suspended under the applicable laws if those shares were registered in the Company’s own name as treasury shares, which may include approval by the Board that (i) the Company would not (and would procure its broker not to) give any instructions to Hong Kong Securities Clearing Company Limited to vote at general meetings for the treasury shares deposited with CCASS; and (ii) in the case of dividends or distributions, the Company will withdraw the treasury shares from CCASS, and either re-register them in its own name as treasury shares or cancel them, in each case before the record date for the dividends or distributions.</w:t>
      </w:r>
    </w:p>
    <w:p>
      <w:pPr>
        <w:spacing w:after="0" w:line="79" w:lineRule="exact"/>
        <w:rPr>
          <w:sz w:val="20"/>
          <w:szCs w:val="20"/>
          <w:color w:val="auto"/>
        </w:rPr>
      </w:pPr>
    </w:p>
    <w:p>
      <w:pPr>
        <w:ind w:left="444" w:right="500"/>
        <w:spacing w:after="0" w:line="282" w:lineRule="auto"/>
        <w:rPr>
          <w:sz w:val="20"/>
          <w:szCs w:val="20"/>
          <w:color w:val="auto"/>
        </w:rPr>
      </w:pPr>
      <w:r>
        <w:rPr>
          <w:rFonts w:ascii="Times New Roman" w:cs="Times New Roman" w:eastAsia="Times New Roman" w:hAnsi="Times New Roman"/>
          <w:sz w:val="18"/>
          <w:szCs w:val="18"/>
          <w:color w:val="auto"/>
        </w:rPr>
        <w:t>The Directors wish to state that they have no immediate plans to repurchase any shares pursuant to the Repurchase Mandate as of the Latest Practicable Date.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004"/>
          </w:cols>
          <w:pgMar w:left="436" w:top="266" w:right="459" w:bottom="1440" w:gutter="0" w:footer="0" w:header="0"/>
        </w:sectPr>
      </w:pPr>
    </w:p>
    <w:bookmarkStart w:id="29" w:name="page30"/>
    <w:bookmarkEnd w:id="29"/>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FUNDING OF REPURCHASES</w:t>
      </w:r>
    </w:p>
    <w:p>
      <w:pPr>
        <w:spacing w:after="0" w:line="121" w:lineRule="exact"/>
        <w:rPr>
          <w:rFonts w:ascii="Times New Roman" w:cs="Times New Roman" w:eastAsia="Times New Roman" w:hAnsi="Times New Roman"/>
          <w:sz w:val="18"/>
          <w:szCs w:val="18"/>
          <w:b w:val="1"/>
          <w:bCs w:val="1"/>
          <w:color w:val="auto"/>
        </w:rPr>
      </w:pPr>
    </w:p>
    <w:p>
      <w:pPr>
        <w:jc w:val="both"/>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Repurchases of shares and/or ADSs will be funded from the Company’s internal resources, which shall be funds legally available for such purpose in accordance with the articles of association of the Company in effect from time to time, the Hong Kong Listing Rules, the applicable laws of the Cayman Islands and/or any other applicable laws, as the case may be.</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REPURCHASES</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might be a material adverse impact on the working capital or gearing position of the Company (as compared with the position disclosed in the audited accounts contained in the annual report of the Company for the year ended December 31, 2025) in the event that the Repurchase Mandate was to be carried out in full at any time during the proposed repurchase period.</w:t>
      </w:r>
    </w:p>
    <w:p>
      <w:pPr>
        <w:spacing w:after="0" w:line="67" w:lineRule="exact"/>
        <w:rPr>
          <w:rFonts w:ascii="Times New Roman" w:cs="Times New Roman" w:eastAsia="Times New Roman" w:hAnsi="Times New Roman"/>
          <w:sz w:val="18"/>
          <w:szCs w:val="18"/>
          <w:b w:val="1"/>
          <w:bCs w:val="1"/>
          <w:color w:val="auto"/>
        </w:rPr>
      </w:pPr>
    </w:p>
    <w:p>
      <w:pPr>
        <w:ind w:left="444"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do not intend to exercise the Repurchase Mandate to such an extent as would, in the circumstances, have a material adverse effect on the working capital requirements of the Company or its gearing levels which, in the opinion of the Directors, are from time to time appropriate for the Company.</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TAKEOVERS CODE</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on the exercise of the power to repurchase shares pursuant to the Repurchase Mandate, a shareholder’s proportionate interest in the voting rights of the Company increases, such increase will be treated as an acquisition of voting rights for the purposes of the Codes on Takeovers and Mergers and Share Buy-backs (the “</w:t>
      </w:r>
      <w:r>
        <w:rPr>
          <w:rFonts w:ascii="Times New Roman" w:cs="Times New Roman" w:eastAsia="Times New Roman" w:hAnsi="Times New Roman"/>
          <w:sz w:val="18"/>
          <w:szCs w:val="18"/>
          <w:b w:val="1"/>
          <w:bCs w:val="1"/>
          <w:color w:val="auto"/>
        </w:rPr>
        <w:t>Takeovers Code</w:t>
      </w:r>
      <w:r>
        <w:rPr>
          <w:rFonts w:ascii="Times New Roman" w:cs="Times New Roman" w:eastAsia="Times New Roman" w:hAnsi="Times New Roman"/>
          <w:sz w:val="18"/>
          <w:szCs w:val="18"/>
          <w:color w:val="auto"/>
        </w:rPr>
        <w:t>”). Accordingly, a shareholder or a group of shareholders acting in concert (as defined under the Takeovers Code) could obtain or consolidate control of the Company and thereby become obliged to make a mandatory offer in accordance with Rule 26 of the Takeovers Code.</w:t>
      </w:r>
    </w:p>
    <w:p>
      <w:pPr>
        <w:spacing w:after="0" w:line="75" w:lineRule="exact"/>
        <w:rPr>
          <w:rFonts w:ascii="Times New Roman" w:cs="Times New Roman" w:eastAsia="Times New Roman" w:hAnsi="Times New Roman"/>
          <w:sz w:val="18"/>
          <w:szCs w:val="18"/>
          <w:b w:val="1"/>
          <w:bCs w:val="1"/>
          <w:color w:val="auto"/>
        </w:rPr>
      </w:pPr>
    </w:p>
    <w:p>
      <w:pPr>
        <w:ind w:left="444"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Latest Practicable Date, to the best knowledge and belief of the Directors, the WVR Beneficiary (has the meaning ascribed to it under the Hong Kong Listing Rules) was Mr. Xiaopeng He. Mr. Xiaopeng He beneficially owned 11,339,844 Class A Ordinary Shares and 348,708,257 Class B Ordinary Shares, representing approximately 69.2% of the voting rights in the Company. Pursuant to Rule 8A.15 of the Hong Kong Listing Rules, in the event that the Directors exercise the Repurchase Mandate, the WVR Beneficiary must reduce his weighted voting rights in the Company proportionately through conversion of a proportion of his Class B Ordinary Shares into Class A Ordinary Shares, if the reduction in the number of shares in issue (after deducting treasury shares) would otherwise result in an increase in the proportion of Class B Ordinary Shares. As such, to the best knowledge and belief of the Directors, the exercise of the Repurchase Mandate is not expected to give rise to an obligation of Mr. Xiaopeng He to make a mandatory offer under the Takeovers Code. The Directors have no present intention to repurchase the shares and/or ADSs to the extent that will trigger the obligations under the Takeovers Code to make a mandatory offer. The Directors are not aware of any other consequences which may arise under the Takeovers Code as a result of any purchase by the Company of its shares.</w:t>
      </w:r>
    </w:p>
    <w:p>
      <w:pPr>
        <w:spacing w:after="0" w:line="86" w:lineRule="exact"/>
        <w:rPr>
          <w:rFonts w:ascii="Times New Roman" w:cs="Times New Roman" w:eastAsia="Times New Roman" w:hAnsi="Times New Roman"/>
          <w:sz w:val="18"/>
          <w:szCs w:val="18"/>
          <w:b w:val="1"/>
          <w:bCs w:val="1"/>
          <w:color w:val="auto"/>
        </w:rPr>
      </w:pPr>
    </w:p>
    <w:p>
      <w:pPr>
        <w:ind w:left="444"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Directors do not propose to repurchase shares and/or ADSs which would result in less than the relevant prescribed minimum percentage of shares in public hands as required by the Hong Kong Stock Exchange.</w:t>
      </w:r>
    </w:p>
    <w:p>
      <w:pPr>
        <w:spacing w:after="0" w:line="94" w:lineRule="exact"/>
        <w:rPr>
          <w:rFonts w:ascii="Times New Roman" w:cs="Times New Roman" w:eastAsia="Times New Roman" w:hAnsi="Times New Roman"/>
          <w:sz w:val="18"/>
          <w:szCs w:val="18"/>
          <w:b w:val="1"/>
          <w:bCs w:val="1"/>
          <w:color w:val="auto"/>
        </w:rPr>
      </w:pPr>
    </w:p>
    <w:p>
      <w:pPr>
        <w:ind w:left="5424" w:hanging="111"/>
        <w:spacing w:after="0"/>
        <w:tabs>
          <w:tab w:leader="none" w:pos="54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984"/>
          </w:cols>
          <w:pgMar w:left="436" w:top="266" w:right="479" w:bottom="1440" w:gutter="0" w:footer="0" w:header="0"/>
        </w:sectPr>
      </w:pPr>
    </w:p>
    <w:bookmarkStart w:id="30" w:name="page31"/>
    <w:bookmarkEnd w:id="30"/>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Directors or, to the best of their knowledge having made all reasonable enquiries, any of their respective close associates (as defined in the Hong Kong Listing Rules) have any present intention to sell any shares to the Company in the event that the granting of the Repurchase Mandate is approved by the shareholders of the Company.</w:t>
      </w:r>
    </w:p>
    <w:p>
      <w:pPr>
        <w:spacing w:after="0" w:line="67" w:lineRule="exact"/>
        <w:rPr>
          <w:rFonts w:ascii="Times New Roman" w:cs="Times New Roman" w:eastAsia="Times New Roman" w:hAnsi="Times New Roman"/>
          <w:sz w:val="18"/>
          <w:szCs w:val="18"/>
          <w:b w:val="1"/>
          <w:bCs w:val="1"/>
          <w:color w:val="auto"/>
        </w:rPr>
      </w:pPr>
    </w:p>
    <w:p>
      <w:pPr>
        <w:jc w:val="both"/>
        <w:ind w:left="444"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not been notified by any core connected persons (as defined in the Hong Kong Listing Rules) of the Company that they have a present intention to sell any shares to the Company, or that they have undertaken not to sell any shares held by them to the Company in the event that the granting of the Repurchase Mandate is approved by the shareholders of the Company.</w:t>
      </w:r>
    </w:p>
    <w:p>
      <w:pPr>
        <w:spacing w:after="0" w:line="67" w:lineRule="exact"/>
        <w:rPr>
          <w:rFonts w:ascii="Times New Roman" w:cs="Times New Roman" w:eastAsia="Times New Roman" w:hAnsi="Times New Roman"/>
          <w:sz w:val="18"/>
          <w:szCs w:val="18"/>
          <w:b w:val="1"/>
          <w:bCs w:val="1"/>
          <w:color w:val="auto"/>
        </w:rPr>
      </w:pPr>
    </w:p>
    <w:p>
      <w:pPr>
        <w:ind w:left="444"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have undertaken that they will exercise the power of the Company to make repurchases of shares and/or ADSs pursuant to the Repurchase Mandate in accordance with the Hong Kong Listing Rules and the applicable laws of the Cayman Islands.</w:t>
      </w:r>
    </w:p>
    <w:p>
      <w:pPr>
        <w:spacing w:after="0" w:line="5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confirmed that neither the explanatory statement nor the Repurchase Mandate has any unusual features.</w:t>
      </w:r>
    </w:p>
    <w:p>
      <w:pPr>
        <w:spacing w:after="0" w:line="3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PRICES OF SHARES</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highest and lowest prices per share at which Class A Ordinary Shares have been traded on the Hong Kong Stock Exchange during each of the previous 12 months up to and including the Latest Practicable Date were as follows:</w:t>
      </w:r>
    </w:p>
    <w:p>
      <w:pPr>
        <w:spacing w:after="0" w:line="17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290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0" w:type="dxa"/>
            <w:vAlign w:val="bottom"/>
          </w:tcPr>
          <w:p>
            <w:pPr>
              <w:spacing w:after="0"/>
              <w:rPr>
                <w:sz w:val="1"/>
                <w:szCs w:val="1"/>
                <w:color w:val="auto"/>
              </w:rPr>
            </w:pPr>
          </w:p>
        </w:tc>
      </w:tr>
      <w:tr>
        <w:trPr>
          <w:trHeight w:val="148"/>
        </w:trPr>
        <w:tc>
          <w:tcPr>
            <w:tcW w:w="5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226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Highest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Lowest</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260" w:type="dxa"/>
            <w:vAlign w:val="bottom"/>
          </w:tcPr>
          <w:p>
            <w:pPr>
              <w:jc w:val="right"/>
              <w:ind w:right="74"/>
              <w:spacing w:after="0"/>
              <w:rPr>
                <w:sz w:val="20"/>
                <w:szCs w:val="20"/>
                <w:color w:val="auto"/>
              </w:rPr>
            </w:pPr>
            <w:r>
              <w:rPr>
                <w:rFonts w:ascii="Times New Roman" w:cs="Times New Roman" w:eastAsia="Times New Roman" w:hAnsi="Times New Roman"/>
                <w:sz w:val="14"/>
                <w:szCs w:val="14"/>
                <w:i w:val="1"/>
                <w:iCs w:val="1"/>
                <w:color w:val="auto"/>
              </w:rPr>
              <w:t>HK$</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HK$</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w:t>
            </w:r>
          </w:p>
        </w:tc>
        <w:tc>
          <w:tcPr>
            <w:tcW w:w="2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81.90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July</w:t>
            </w:r>
          </w:p>
        </w:tc>
        <w:tc>
          <w:tcPr>
            <w:tcW w:w="2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77.50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w:t>
            </w:r>
          </w:p>
        </w:tc>
        <w:tc>
          <w:tcPr>
            <w:tcW w:w="2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96.30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September</w:t>
            </w:r>
          </w:p>
        </w:tc>
        <w:tc>
          <w:tcPr>
            <w:tcW w:w="2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93.50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w:t>
            </w:r>
          </w:p>
        </w:tc>
        <w:tc>
          <w:tcPr>
            <w:tcW w:w="2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95.75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November</w:t>
            </w:r>
          </w:p>
        </w:tc>
        <w:tc>
          <w:tcPr>
            <w:tcW w:w="2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110.80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w:t>
            </w:r>
          </w:p>
        </w:tc>
        <w:tc>
          <w:tcPr>
            <w:tcW w:w="2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84.50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84.60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73.55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81.40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2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70.90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(up to and including the Latest Practicable Date)</w:t>
            </w:r>
          </w:p>
        </w:tc>
        <w:tc>
          <w:tcPr>
            <w:tcW w:w="2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64.00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REPURCHASES OF SHARES MADE BY THE COMPANY</w:t>
      </w:r>
    </w:p>
    <w:p>
      <w:pPr>
        <w:spacing w:after="0" w:line="121" w:lineRule="exact"/>
        <w:rPr>
          <w:rFonts w:ascii="Times New Roman" w:cs="Times New Roman" w:eastAsia="Times New Roman" w:hAnsi="Times New Roman"/>
          <w:sz w:val="18"/>
          <w:szCs w:val="18"/>
          <w:b w:val="1"/>
          <w:bCs w:val="1"/>
          <w:color w:val="auto"/>
        </w:rPr>
      </w:pPr>
    </w:p>
    <w:p>
      <w:pPr>
        <w:ind w:left="444"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six months prior to the Latest Practicable Date, the Company has not repurchased any Class A Ordinary Shares on the Hong Kong Stock Exchange or any ADSs on the New York Stock Exchange.</w:t>
      </w:r>
    </w:p>
    <w:p>
      <w:pPr>
        <w:spacing w:after="0" w:line="94" w:lineRule="exact"/>
        <w:rPr>
          <w:rFonts w:ascii="Times New Roman" w:cs="Times New Roman" w:eastAsia="Times New Roman" w:hAnsi="Times New Roman"/>
          <w:sz w:val="18"/>
          <w:szCs w:val="18"/>
          <w:b w:val="1"/>
          <w:bCs w:val="1"/>
          <w:color w:val="auto"/>
        </w:rPr>
      </w:pPr>
    </w:p>
    <w:p>
      <w:pPr>
        <w:ind w:left="5424" w:hanging="111"/>
        <w:spacing w:after="0"/>
        <w:tabs>
          <w:tab w:leader="none" w:pos="54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964"/>
          </w:cols>
          <w:pgMar w:left="436" w:top="266" w:right="499" w:bottom="1440" w:gutter="0" w:footer="0" w:header="0"/>
        </w:sectPr>
      </w:pPr>
    </w:p>
    <w:bookmarkStart w:id="31" w:name="page32"/>
    <w:bookmarkEnd w:id="3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C</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Details of the proposed amendments to the ninth amended and restated memorandum and articles of association are set out as follows: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No.   Proposed amendments</w:t>
      </w:r>
    </w:p>
    <w:p>
      <w:pPr>
        <w:spacing w:after="0" w:line="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(showing changes to the existing articles of association)</w:t>
      </w:r>
    </w:p>
    <w:p>
      <w:pPr>
        <w:spacing w:after="0" w:line="112" w:lineRule="exact"/>
        <w:rPr>
          <w:sz w:val="20"/>
          <w:szCs w:val="20"/>
          <w:color w:val="auto"/>
        </w:rPr>
      </w:pPr>
    </w:p>
    <w:p>
      <w:pPr>
        <w:jc w:val="both"/>
        <w:ind w:left="984" w:hanging="984"/>
        <w:spacing w:after="0" w:line="266" w:lineRule="auto"/>
        <w:tabs>
          <w:tab w:leader="none" w:pos="9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registered office is situated at </w:t>
      </w:r>
      <w:r>
        <w:rPr>
          <w:rFonts w:ascii="Times New Roman" w:cs="Times New Roman" w:eastAsia="Times New Roman" w:hAnsi="Times New Roman"/>
          <w:sz w:val="18"/>
          <w:szCs w:val="18"/>
          <w:u w:val="single" w:color="auto"/>
          <w:color w:val="auto"/>
        </w:rPr>
        <w:t>Ascentium (Cayman) 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Harneys Fiduciary (Cayman) Limited</w:t>
      </w:r>
      <w:r>
        <w:rPr>
          <w:rFonts w:ascii="Times New Roman" w:cs="Times New Roman" w:eastAsia="Times New Roman" w:hAnsi="Times New Roman"/>
          <w:sz w:val="18"/>
          <w:szCs w:val="18"/>
          <w:color w:val="auto"/>
        </w:rPr>
        <w:t>, 4th Floor, Harbour Place, 103 South Church Street, P.O. Box 10240, Grand Cayman KY1-1002, Cayman Islands or at such other place in the Cayman Islands as the Directors may from time to time decide.</w:t>
      </w:r>
    </w:p>
    <w:p>
      <w:pPr>
        <w:spacing w:after="0" w:line="8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9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 these Articles the following terms shall have the meanings set opposite unless the context otherwise requires:</w:t>
            </w:r>
          </w:p>
        </w:tc>
      </w:tr>
      <w:tr>
        <w:trPr>
          <w:trHeight w:val="459"/>
        </w:trPr>
        <w:tc>
          <w:tcPr>
            <w:tcW w:w="66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ADS</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 an American Depositary Share representing Class A Ordinary Shares</w:t>
            </w:r>
          </w:p>
        </w:tc>
      </w:tr>
      <w:tr>
        <w:trPr>
          <w:trHeight w:val="306"/>
        </w:trPr>
        <w:tc>
          <w:tcPr>
            <w:tcW w:w="66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Affiliate</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 through one or more</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 in the case of a natural person, shall include, without limitation, such person’s spouse, parents,</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children, siblings, mother-in-law, father-in-law, brothers-in-law and sisters-in-law, a trust for the</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benefit of any of the foregoing, and a corporation, partnership or any other entity wholly or jointly</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owned by any of the foregoing, and (ii) in the case of an entity, shall include a partnership, a</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or any other entity or any natural person which directly, or indirectly through one or</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more intermediaries, controls, is controlled by, or is under common control with, such entity. The</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“control” shall mean the ownership, directly or indirectly, of shares possessing more than fifty</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 cent (50%) of the voting power of the corporation, partnership or other entity (other than, in the</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case of a corporation, securities having such power only by reason of the happening of a</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contingency), or having the power to control the management or elect a majority of members to the</w:t>
            </w: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of directors or equivalent decision-making body of such corporation, partnership or other</w:t>
            </w:r>
          </w:p>
        </w:tc>
      </w:tr>
      <w:tr>
        <w:trPr>
          <w:trHeight w:val="234"/>
        </w:trPr>
        <w:tc>
          <w:tcPr>
            <w:tcW w:w="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entity</w:t>
            </w:r>
          </w:p>
        </w:tc>
      </w:tr>
      <w:tr>
        <w:trPr>
          <w:trHeight w:val="338"/>
        </w:trPr>
        <w:tc>
          <w:tcPr>
            <w:tcW w:w="66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Articles</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these Articles of Association as from time to time amended by Special Resolution</w:t>
            </w:r>
          </w:p>
        </w:tc>
      </w:tr>
      <w:tr>
        <w:trPr>
          <w:trHeight w:val="324"/>
        </w:trPr>
        <w:tc>
          <w:tcPr>
            <w:tcW w:w="66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Auditors</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Auditors for the time being of the Company, if any</w:t>
            </w:r>
          </w:p>
        </w:tc>
      </w:tr>
      <w:tr>
        <w:trPr>
          <w:trHeight w:val="324"/>
        </w:trPr>
        <w:tc>
          <w:tcPr>
            <w:tcW w:w="66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Chairman</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 the chairman of the Board of Directors</w:t>
            </w:r>
          </w:p>
        </w:tc>
      </w:tr>
      <w:tr>
        <w:trPr>
          <w:trHeight w:val="306"/>
        </w:trPr>
        <w:tc>
          <w:tcPr>
            <w:tcW w:w="66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Ordinary Share</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means an Ordinary Share of a par value of US$0.00001 in the capital of the Company, designated as</w:t>
            </w:r>
          </w:p>
        </w:tc>
      </w:tr>
      <w:tr>
        <w:trPr>
          <w:trHeight w:val="234"/>
        </w:trPr>
        <w:tc>
          <w:tcPr>
            <w:tcW w:w="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Class A Ordinary Share and having the rights provided for in these Articles</w:t>
            </w:r>
          </w:p>
        </w:tc>
      </w:tr>
      <w:tr>
        <w:trPr>
          <w:trHeight w:val="306"/>
        </w:trPr>
        <w:tc>
          <w:tcPr>
            <w:tcW w:w="66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Ordinary Share</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means an Ordinary Share of a par value of US$0.00001 in the capital of the Company, designated as</w:t>
            </w:r>
          </w:p>
        </w:tc>
      </w:tr>
      <w:tr>
        <w:trPr>
          <w:trHeight w:val="234"/>
        </w:trPr>
        <w:tc>
          <w:tcPr>
            <w:tcW w:w="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Class B Ordinary Share and having the rights provided for in these Articles</w:t>
            </w:r>
          </w:p>
        </w:tc>
      </w:tr>
      <w:tr>
        <w:trPr>
          <w:trHeight w:val="306"/>
        </w:trPr>
        <w:tc>
          <w:tcPr>
            <w:tcW w:w="660" w:type="dxa"/>
            <w:vAlign w:val="bottom"/>
          </w:tcPr>
          <w:p>
            <w:pPr>
              <w:spacing w:after="0"/>
              <w:rPr>
                <w:sz w:val="24"/>
                <w:szCs w:val="24"/>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Commission</w:t>
            </w: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w:t>
            </w:r>
          </w:p>
        </w:tc>
      </w:tr>
      <w:tr>
        <w:trPr>
          <w:trHeight w:val="234"/>
        </w:trPr>
        <w:tc>
          <w:tcPr>
            <w:tcW w:w="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agency for the time being administering the Securities Act</w:t>
            </w:r>
          </w:p>
        </w:tc>
      </w:tr>
      <w:tr>
        <w:trPr>
          <w:trHeight w:val="365"/>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- 19 -</w:t>
            </w:r>
          </w:p>
        </w:tc>
      </w:tr>
    </w:tbl>
    <w:p>
      <w:pPr>
        <w:sectPr>
          <w:pgSz w:w="11900" w:h="16838" w:orient="portrait"/>
          <w:cols w:equalWidth="0" w:num="1">
            <w:col w:w="10624"/>
          </w:cols>
          <w:pgMar w:left="436" w:top="266" w:right="8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No.   Proposed amendments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(showing changes to the existing articles of association)</w:t>
      </w:r>
    </w:p>
    <w:p>
      <w:pPr>
        <w:spacing w:after="0" w:line="23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Companies Act</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Companies Act (Revised) of the Cayman Islands as amended from time to time and</w:t>
            </w:r>
          </w:p>
        </w:tc>
      </w:tr>
      <w:tr>
        <w:trPr>
          <w:trHeight w:val="216"/>
        </w:trPr>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every other act, order regulation or other instrument having statutory effect (as amended</w:t>
            </w:r>
          </w:p>
        </w:tc>
      </w:tr>
      <w:tr>
        <w:trPr>
          <w:trHeight w:val="216"/>
        </w:trPr>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from time to time) for the time being in force in the Cayman Islands applying to or</w:t>
            </w:r>
          </w:p>
        </w:tc>
      </w:tr>
      <w:tr>
        <w:trPr>
          <w:trHeight w:val="234"/>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affecting the Company, the Memorandum and/or the Articles</w:t>
            </w:r>
          </w:p>
        </w:tc>
      </w:tr>
      <w:tr>
        <w:trPr>
          <w:trHeight w:val="306"/>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Companies Ordinance</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Companies Ordinance (Chapter 622 of the Laws of Hong Kong) and every other</w:t>
            </w:r>
          </w:p>
        </w:tc>
      </w:tr>
      <w:tr>
        <w:trPr>
          <w:trHeight w:val="216"/>
        </w:trPr>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ordinance incorporated therewith or substituted therefor; and in the case of any such</w:t>
            </w:r>
          </w:p>
        </w:tc>
      </w:tr>
      <w:tr>
        <w:trPr>
          <w:trHeight w:val="216"/>
        </w:trPr>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substitution the references in these Articles to the provisions of the Companies</w:t>
            </w:r>
          </w:p>
        </w:tc>
      </w:tr>
      <w:tr>
        <w:trPr>
          <w:trHeight w:val="216"/>
        </w:trPr>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Ordinance shall be read as references to the provisions substituted therefor in the new</w:t>
            </w:r>
          </w:p>
        </w:tc>
      </w:tr>
      <w:tr>
        <w:trPr>
          <w:trHeight w:val="234"/>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Ordinance</w:t>
            </w:r>
          </w:p>
        </w:tc>
      </w:tr>
      <w:tr>
        <w:trPr>
          <w:trHeight w:val="324"/>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XPeng Inc.</w:t>
            </w:r>
          </w:p>
        </w:tc>
      </w:tr>
      <w:tr>
        <w:trPr>
          <w:trHeight w:val="324"/>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Compliance Adviser</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shall have the meaning given to it in the HKSE Listing Rules</w:t>
            </w:r>
          </w:p>
        </w:tc>
      </w:tr>
      <w:tr>
        <w:trPr>
          <w:trHeight w:val="306"/>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Governance Committee</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shall mean the corporate governance committee of the Board established in accordance</w:t>
            </w:r>
          </w:p>
        </w:tc>
      </w:tr>
      <w:tr>
        <w:trPr>
          <w:trHeight w:val="234"/>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 Article 125</w:t>
            </w:r>
          </w:p>
        </w:tc>
      </w:tr>
      <w:tr>
        <w:trPr>
          <w:trHeight w:val="306"/>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Governance Report</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shall mean the corporate governance report to be included in the Company’s annual</w:t>
            </w:r>
          </w:p>
        </w:tc>
      </w:tr>
      <w:tr>
        <w:trPr>
          <w:trHeight w:val="234"/>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reports or summary financial reports, if any, in accordance with the HKSE Listing Rules</w:t>
            </w:r>
          </w:p>
        </w:tc>
      </w:tr>
      <w:tr>
        <w:trPr>
          <w:trHeight w:val="306"/>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Directors or Board</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directors of the Company for the time being or, as the Board of Directors case may</w:t>
            </w:r>
          </w:p>
        </w:tc>
      </w:tr>
      <w:tr>
        <w:trPr>
          <w:trHeight w:val="234"/>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 the directors assembled as a board</w:t>
            </w:r>
          </w:p>
        </w:tc>
      </w:tr>
      <w:tr>
        <w:trPr>
          <w:trHeight w:val="306"/>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 Holding Vehicle</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shall mean a limited partnership, trust, private company or other vehicle wholly-owned</w:t>
            </w:r>
          </w:p>
        </w:tc>
      </w:tr>
      <w:tr>
        <w:trPr>
          <w:trHeight w:val="234"/>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wholly controlled by a Director</w:t>
            </w:r>
          </w:p>
        </w:tc>
      </w:tr>
      <w:tr>
        <w:trPr>
          <w:trHeight w:val="28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electronic</w:t>
            </w:r>
          </w:p>
        </w:tc>
        <w:tc>
          <w:tcPr>
            <w:tcW w:w="1920" w:type="dxa"/>
            <w:vAlign w:val="bottom"/>
            <w:gridSpan w:val="3"/>
          </w:tcPr>
          <w:p>
            <w:pPr>
              <w:spacing w:after="0"/>
              <w:rPr>
                <w:sz w:val="24"/>
                <w:szCs w:val="24"/>
                <w:color w:val="auto"/>
              </w:rPr>
            </w:pPr>
          </w:p>
        </w:tc>
        <w:tc>
          <w:tcPr>
            <w:tcW w:w="4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has the meaning given to it in the Electronic Transactions Act</w:t>
            </w:r>
          </w:p>
        </w:tc>
        <w:tc>
          <w:tcPr>
            <w:tcW w:w="1900" w:type="dxa"/>
            <w:vAlign w:val="bottom"/>
            <w:gridSpan w:val="5"/>
          </w:tcPr>
          <w:p>
            <w:pPr>
              <w:spacing w:after="0"/>
              <w:rPr>
                <w:sz w:val="24"/>
                <w:szCs w:val="24"/>
                <w:color w:val="auto"/>
              </w:rPr>
            </w:pPr>
          </w:p>
        </w:tc>
      </w:tr>
      <w:tr>
        <w:trPr>
          <w:trHeight w:val="304"/>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electronic means</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includes sending or otherwise making available to the intended recipients of the</w:t>
            </w:r>
          </w:p>
        </w:tc>
      </w:tr>
      <w:tr>
        <w:trPr>
          <w:trHeight w:val="196"/>
        </w:trPr>
        <w:tc>
          <w:tcPr>
            <w:tcW w:w="7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6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communication in electronic format, including telex or telefax confirmation</w:t>
            </w:r>
          </w:p>
        </w:tc>
        <w:tc>
          <w:tcPr>
            <w:tcW w:w="280" w:type="dxa"/>
            <w:vAlign w:val="bottom"/>
            <w:tcBorders>
              <w:top w:val="single" w:sz="8" w:color="auto"/>
            </w:tcBorders>
          </w:tcPr>
          <w:p>
            <w:pPr>
              <w:spacing w:after="0"/>
              <w:rPr>
                <w:sz w:val="17"/>
                <w:szCs w:val="17"/>
                <w:color w:val="auto"/>
              </w:rPr>
            </w:pPr>
          </w:p>
        </w:tc>
        <w:tc>
          <w:tcPr>
            <w:tcW w:w="620" w:type="dxa"/>
            <w:vAlign w:val="bottom"/>
            <w:gridSpan w:val="3"/>
          </w:tcPr>
          <w:p>
            <w:pPr>
              <w:spacing w:after="0"/>
              <w:rPr>
                <w:sz w:val="17"/>
                <w:szCs w:val="17"/>
                <w:color w:val="auto"/>
              </w:rPr>
            </w:pPr>
          </w:p>
        </w:tc>
      </w:tr>
      <w:tr>
        <w:trPr>
          <w:trHeight w:val="304"/>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Electronic Transactions Act</w:t>
            </w:r>
          </w:p>
        </w:tc>
        <w:tc>
          <w:tcPr>
            <w:tcW w:w="620" w:type="dxa"/>
            <w:vAlign w:val="bottom"/>
          </w:tcPr>
          <w:p>
            <w:pPr>
              <w:spacing w:after="0"/>
              <w:rPr>
                <w:sz w:val="24"/>
                <w:szCs w:val="24"/>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means the Electronic Transactions Act (Revised) of the Cayman Islands and any</w:t>
            </w:r>
          </w:p>
        </w:tc>
      </w:tr>
      <w:tr>
        <w:trPr>
          <w:trHeight w:val="20"/>
        </w:trPr>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4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amendments thereto or re-enactments thereof for the time being in force and includes</w:t>
            </w:r>
          </w:p>
        </w:tc>
        <w:tc>
          <w:tcPr>
            <w:tcW w:w="2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every other law incorporated therewith or substituted therefor</w:t>
            </w:r>
          </w:p>
        </w:tc>
        <w:tc>
          <w:tcPr>
            <w:tcW w:w="1920" w:type="dxa"/>
            <w:vAlign w:val="bottom"/>
            <w:gridSpan w:val="6"/>
          </w:tcPr>
          <w:p>
            <w:pPr>
              <w:spacing w:after="0"/>
              <w:rPr>
                <w:sz w:val="17"/>
                <w:szCs w:val="17"/>
                <w:color w:val="auto"/>
              </w:rPr>
            </w:pPr>
          </w:p>
        </w:tc>
      </w:tr>
      <w:tr>
        <w:trPr>
          <w:trHeight w:val="326"/>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Exchange</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means the NYSE for so long as the Company’s Shares or ADSs are there listed, the</w:t>
            </w:r>
          </w:p>
        </w:tc>
      </w:tr>
      <w:tr>
        <w:trPr>
          <w:trHeight w:val="216"/>
        </w:trPr>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HKSE for so long as the Company’s Shares or ADSs are there listed and any other</w:t>
            </w:r>
          </w:p>
        </w:tc>
      </w:tr>
      <w:tr>
        <w:trPr>
          <w:trHeight w:val="216"/>
        </w:trPr>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exchange or other system on which any Shares or ADSs are listed or</w:t>
            </w:r>
          </w:p>
        </w:tc>
      </w:tr>
      <w:tr>
        <w:trPr>
          <w:trHeight w:val="234"/>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authorised for trading from time to time</w:t>
            </w:r>
          </w:p>
        </w:tc>
      </w:tr>
      <w:tr>
        <w:trPr>
          <w:trHeight w:val="306"/>
        </w:trPr>
        <w:tc>
          <w:tcPr>
            <w:tcW w:w="2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Exchange Rules</w:t>
            </w: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relevant code, rules and regulations, as amended, from time to time, applicable as a</w:t>
            </w:r>
          </w:p>
        </w:tc>
      </w:tr>
      <w:tr>
        <w:trPr>
          <w:trHeight w:val="234"/>
        </w:trPr>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result of the original and continued listing of any Shares or ADSs on the Exchange</w:t>
            </w:r>
          </w:p>
        </w:tc>
      </w:tr>
      <w:tr>
        <w:trPr>
          <w:trHeight w:val="365"/>
        </w:trPr>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- 20 -</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019"/>
          </w:cols>
          <w:pgMar w:left="440" w:top="26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No.   Proposed amendments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(showing changes to the existing articles of association)</w:t>
      </w:r>
    </w:p>
    <w:p>
      <w:pPr>
        <w:spacing w:after="0" w:line="234"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HKSE</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The Stock Exchange of Hong Kong Limited</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HKSE Listing Rules</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the Rules Governing the Listing of Securities on The Stock Exchange of Hong</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Kong Limited as amended from time to time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director who is an independent director as defined in the NYSE Exchange Rules</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Independent</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director recognized as such by the relevant code, rules and regulations applicable to</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listing of shares on the HKSE</w:t>
            </w:r>
          </w:p>
        </w:tc>
      </w:tr>
      <w:tr>
        <w:trPr>
          <w:trHeight w:val="31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Companies Act (Revised) of the Cayman Islands and any amendment or other</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statutory modification thereof and where in these Articles any provision of the Law is</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referred to, the reference is to that provision as modified by law for the time being in</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force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Member or Shareholder</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person who is registered in the Register of Members as the holder of any Share in the</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Memorandum</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means the memorandum of association of the Company, as amended or substituted from</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time to time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Month</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calendar month</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Nomination Committee</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shall mean the nomination committee of the Board established in accordance with</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120</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NYSE Exchange Rules</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relevant code, rules and regulations, as amended, from time to time, applicable as a</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result of the original and continued listing of any Shares or ADSs on the NYSE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Ordinary Resolution</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resolution (a) passed by a simple majority of the votes cast by such Shareholders as,</w:t>
            </w:r>
          </w:p>
        </w:tc>
      </w:tr>
      <w:tr>
        <w:trPr>
          <w:trHeight w:val="194"/>
        </w:trPr>
        <w:tc>
          <w:tcPr>
            <w:tcW w:w="2640" w:type="dxa"/>
            <w:vAlign w:val="bottom"/>
          </w:tcPr>
          <w:p>
            <w:pPr>
              <w:spacing w:after="0"/>
              <w:rPr>
                <w:sz w:val="16"/>
                <w:szCs w:val="16"/>
                <w:color w:val="auto"/>
              </w:rPr>
            </w:pPr>
          </w:p>
        </w:tc>
        <w:tc>
          <w:tcPr>
            <w:tcW w:w="63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being entitled to do so, vote in person (whether physically or by virtual attendance with</w:t>
            </w:r>
          </w:p>
        </w:tc>
      </w:tr>
      <w:tr>
        <w:trPr>
          <w:trHeight w:val="20"/>
        </w:trPr>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6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the use of technology), or, where proxies are allowed, by proxy or, in the case of</w:t>
            </w:r>
          </w:p>
        </w:tc>
      </w:tr>
      <w:tr>
        <w:trPr>
          <w:trHeight w:val="20"/>
        </w:trPr>
        <w:tc>
          <w:tcPr>
            <w:tcW w:w="26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r>
      <w:tr>
        <w:trPr>
          <w:trHeight w:val="218"/>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corporations, by their duly authorised representatives, at a general meeting of the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Company held in accordance with these Articles; or (b) approved in writing by all of the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entitled to vote at a general meeting of the Company in one or more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instruments each signed by one or more of the Shareholders and the effective date of the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resolution so adopted shall be the date on which the instrument, or the last of such</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instruments, if more than one, is executed</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a Class A Ordinary Share or a Weighted Voting Share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paid up</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paid up as to the par value in respect of the issue of any Shares and includes</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credited as paid up</w:t>
            </w:r>
          </w:p>
        </w:tc>
      </w:tr>
      <w:tr>
        <w:trPr>
          <w:trHeight w:val="365"/>
        </w:trPr>
        <w:tc>
          <w:tcPr>
            <w:tcW w:w="2640" w:type="dxa"/>
            <w:vAlign w:val="bottom"/>
          </w:tcPr>
          <w:p>
            <w:pPr>
              <w:spacing w:after="0"/>
              <w:rPr>
                <w:sz w:val="24"/>
                <w:szCs w:val="24"/>
                <w:color w:val="auto"/>
              </w:rPr>
            </w:pPr>
          </w:p>
        </w:tc>
        <w:tc>
          <w:tcPr>
            <w:tcW w:w="28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- 21 -</w:t>
            </w: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019"/>
          </w:cols>
          <w:pgMar w:left="440" w:top="26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No.   Proposed amendments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(showing changes to the existing articles of association)</w:t>
      </w:r>
    </w:p>
    <w:p>
      <w:pPr>
        <w:spacing w:after="0" w:line="23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association or other entity (whether or not having a separate legal personality) or any of</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them as the context so requires</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recognized clearing house</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shall include the recognized clearing house as defined in Part I of Schedule 1 of the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and Futures Ordinance (Cap. 571 of the Laws of Hong Kong) and any</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amendments thereto or re-enactments thereof for the time being in force and includes</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every other law incorporated therewith or substituted therefor</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Registered Office</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registered office of the Company as provided in Section 50 of the Law</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register of Members to be kept pursuant to section 40 of the Law</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any person appointed by the Directors to perform any of the duties of the secretary of</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and including any assistant secretary</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the Securities Act of 1933 of the United States of America, as amended, or any</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similar federal statute and the rules and regulations of the Commission thereunder, all as</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same shall be in effect at the time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common seal of the Company or any facsimile for official seal for use outside of the</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a share in the capital of the Company. All references to “Shares” herein shall be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deemed to be Shares of any or all Classes as the context may require. For the avoidance</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doubt in these Articles the expression “Share” shall include a fraction of a Share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Special Resolution</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a special resolution of the Company passed in accordance with the Companies</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Act, being a resolution: (a) passed by not less than three-fourths of the votes cast by</w:t>
            </w:r>
          </w:p>
        </w:tc>
      </w:tr>
      <w:tr>
        <w:trPr>
          <w:trHeight w:val="194"/>
        </w:trPr>
        <w:tc>
          <w:tcPr>
            <w:tcW w:w="2640" w:type="dxa"/>
            <w:vAlign w:val="bottom"/>
          </w:tcPr>
          <w:p>
            <w:pPr>
              <w:spacing w:after="0"/>
              <w:rPr>
                <w:sz w:val="16"/>
                <w:szCs w:val="16"/>
                <w:color w:val="auto"/>
              </w:rPr>
            </w:pPr>
          </w:p>
        </w:tc>
        <w:tc>
          <w:tcPr>
            <w:tcW w:w="63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such Shareholders as, being entitled to do so, vote in person (whether physically or by</w:t>
            </w:r>
          </w:p>
        </w:tc>
      </w:tr>
      <w:tr>
        <w:trPr>
          <w:trHeight w:val="20"/>
        </w:trPr>
        <w:tc>
          <w:tcPr>
            <w:tcW w:w="2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6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virtual attendance with the use of technology), or, where proxies are allowed, by proxy</w:t>
            </w:r>
          </w:p>
        </w:tc>
      </w:tr>
      <w:tr>
        <w:trPr>
          <w:trHeight w:val="20"/>
        </w:trPr>
        <w:tc>
          <w:tcPr>
            <w:tcW w:w="264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r>
      <w:tr>
        <w:trPr>
          <w:trHeight w:val="218"/>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in the case of corporations, by their duly authorised representatives, at a general</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meeting of the Company of which notice specifying the intention to propose the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resolution as a special resolution has been duly given; or (b) approved in writing by all</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the Shareholders entitled to vote at a general meeting of the Company in one or more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instruments each signed by one or more of the Shareholders and the effective date of the</w:t>
            </w:r>
          </w:p>
        </w:tc>
      </w:tr>
      <w:tr>
        <w:trPr>
          <w:trHeight w:val="216"/>
        </w:trPr>
        <w:tc>
          <w:tcPr>
            <w:tcW w:w="264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special resolution so adopted shall be the date on which the instrument or the last of</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such instruments, if more than one, is executed</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Law</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the United States of America, its territories, its possessions and all areas subject</w:t>
            </w:r>
          </w:p>
        </w:tc>
      </w:tr>
      <w:tr>
        <w:trPr>
          <w:trHeight w:val="234"/>
        </w:trPr>
        <w:tc>
          <w:tcPr>
            <w:tcW w:w="264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its jurisdiction</w:t>
            </w:r>
          </w:p>
        </w:tc>
      </w:tr>
      <w:tr>
        <w:trPr>
          <w:trHeight w:val="365"/>
        </w:trPr>
        <w:tc>
          <w:tcPr>
            <w:tcW w:w="2640" w:type="dxa"/>
            <w:vAlign w:val="bottom"/>
          </w:tcPr>
          <w:p>
            <w:pPr>
              <w:spacing w:after="0"/>
              <w:rPr>
                <w:sz w:val="24"/>
                <w:szCs w:val="24"/>
                <w:color w:val="auto"/>
              </w:rPr>
            </w:pPr>
          </w:p>
        </w:tc>
        <w:tc>
          <w:tcPr>
            <w:tcW w:w="32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- 22 -</w:t>
            </w: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019"/>
          </w:cols>
          <w:pgMar w:left="440" w:top="266" w:right="1440"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Article No. </w:t>
            </w:r>
          </w:p>
        </w:tc>
        <w:tc>
          <w:tcPr>
            <w:tcW w:w="2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Proposed amendments</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(showing changes to the existing articles of association)</w:t>
            </w:r>
          </w:p>
        </w:tc>
      </w:tr>
      <w:tr>
        <w:trPr>
          <w:trHeight w:val="459"/>
        </w:trPr>
        <w:tc>
          <w:tcPr>
            <w:tcW w:w="98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Weighted Voting Share</w:t>
            </w:r>
          </w:p>
        </w:tc>
        <w:tc>
          <w:tcPr>
            <w:tcW w:w="754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means a Class B Ordinary Share</w:t>
            </w:r>
          </w:p>
        </w:tc>
      </w:tr>
      <w:tr>
        <w:trPr>
          <w:trHeight w:val="31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3.(d)</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at any time, the share capital of the Company is divided into different classes of shares, the rights attached to any class of shares may,</w:t>
            </w:r>
          </w:p>
        </w:tc>
      </w:tr>
      <w:tr>
        <w:trPr>
          <w:trHeight w:val="216"/>
        </w:trPr>
        <w:tc>
          <w:tcPr>
            <w:tcW w:w="9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subject to the provisions of the Companies Act, be varied with the consent in writing of the holders of at least three-fourths of the issued</w:t>
            </w:r>
          </w:p>
        </w:tc>
      </w:tr>
      <w:tr>
        <w:trPr>
          <w:trHeight w:val="216"/>
        </w:trPr>
        <w:tc>
          <w:tcPr>
            <w:tcW w:w="9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of that class or with the approval of a resolution passed by at least three-fourths of the votes cast by the holders of the shares of that</w:t>
            </w:r>
          </w:p>
        </w:tc>
      </w:tr>
      <w:tr>
        <w:trPr>
          <w:trHeight w:val="194"/>
        </w:trPr>
        <w:tc>
          <w:tcPr>
            <w:tcW w:w="980" w:type="dxa"/>
            <w:vAlign w:val="bottom"/>
          </w:tcPr>
          <w:p>
            <w:pPr>
              <w:spacing w:after="0"/>
              <w:rPr>
                <w:sz w:val="16"/>
                <w:szCs w:val="16"/>
                <w:color w:val="auto"/>
              </w:rPr>
            </w:pPr>
          </w:p>
        </w:tc>
        <w:tc>
          <w:tcPr>
            <w:tcW w:w="100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class present and voting in person (whether physically or by virtual attendance with the use of technology) or by proxy at a separate</w:t>
            </w:r>
          </w:p>
        </w:tc>
      </w:tr>
      <w:tr>
        <w:trPr>
          <w:trHeight w:val="20"/>
        </w:trPr>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meeting of such holders. To every such meeting all the provisions of these Articles relating to general meetings of the Company or to the</w:t>
            </w:r>
          </w:p>
        </w:tc>
      </w:tr>
      <w:tr>
        <w:trPr>
          <w:trHeight w:val="216"/>
        </w:trPr>
        <w:tc>
          <w:tcPr>
            <w:tcW w:w="9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proceedings thereat shall apply mutatis mutandis, except that the necessary quorum shall be two persons holding (or, in the case of a</w:t>
            </w:r>
          </w:p>
        </w:tc>
      </w:tr>
      <w:tr>
        <w:trPr>
          <w:trHeight w:val="216"/>
        </w:trPr>
        <w:tc>
          <w:tcPr>
            <w:tcW w:w="980" w:type="dxa"/>
            <w:vAlign w:val="bottom"/>
          </w:tcPr>
          <w:p>
            <w:pPr>
              <w:spacing w:after="0"/>
              <w:rPr>
                <w:sz w:val="18"/>
                <w:szCs w:val="18"/>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Shareholder being a corporation, by its duly authorised representative), or representing by proxy at least one-third in nominal or par value</w:t>
            </w:r>
          </w:p>
        </w:tc>
      </w:tr>
      <w:tr>
        <w:trPr>
          <w:trHeight w:val="194"/>
        </w:trPr>
        <w:tc>
          <w:tcPr>
            <w:tcW w:w="980" w:type="dxa"/>
            <w:vAlign w:val="bottom"/>
          </w:tcPr>
          <w:p>
            <w:pPr>
              <w:spacing w:after="0"/>
              <w:rPr>
                <w:sz w:val="16"/>
                <w:szCs w:val="16"/>
                <w:color w:val="auto"/>
              </w:rPr>
            </w:pPr>
          </w:p>
        </w:tc>
        <w:tc>
          <w:tcPr>
            <w:tcW w:w="100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amount of the issued Shares of the relevant class and that any holder of Shares of the class present in person (whether physically or by</w:t>
            </w:r>
          </w:p>
        </w:tc>
      </w:tr>
      <w:tr>
        <w:trPr>
          <w:trHeight w:val="20"/>
        </w:trPr>
        <w:tc>
          <w:tcPr>
            <w:tcW w:w="98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virtual attendance with the use of technology), or in the case of the Shareholder being a corporation, by its duly authorised representative)</w:t>
            </w:r>
          </w:p>
        </w:tc>
      </w:tr>
      <w:tr>
        <w:trPr>
          <w:trHeight w:val="237"/>
        </w:trPr>
        <w:tc>
          <w:tcPr>
            <w:tcW w:w="98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or by proxy may demand a poll.</w:t>
            </w:r>
          </w:p>
        </w:tc>
        <w:tc>
          <w:tcPr>
            <w:tcW w:w="820" w:type="dxa"/>
            <w:vAlign w:val="bottom"/>
            <w:tcBorders>
              <w:top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1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63.(a)</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Company shall in each financial year hold a general meeting as its annual general meeting and shall specify the meeting as such in the</w:t>
            </w:r>
          </w:p>
        </w:tc>
      </w:tr>
      <w:tr>
        <w:trPr>
          <w:trHeight w:val="234"/>
        </w:trPr>
        <w:tc>
          <w:tcPr>
            <w:tcW w:w="98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notice calling it. The annual general meeting shall be held within six months after the end of the Company’s financial year at such time and</w:t>
            </w:r>
          </w:p>
        </w:tc>
      </w:tr>
    </w:tbl>
    <w:p>
      <w:pPr>
        <w:ind w:left="984" w:right="20"/>
        <w:spacing w:after="0" w:line="253" w:lineRule="auto"/>
        <w:rPr>
          <w:sz w:val="20"/>
          <w:szCs w:val="20"/>
          <w:color w:val="auto"/>
        </w:rPr>
      </w:pPr>
      <w:r>
        <w:rPr>
          <w:rFonts w:ascii="Times New Roman" w:cs="Times New Roman" w:eastAsia="Times New Roman" w:hAnsi="Times New Roman"/>
          <w:sz w:val="18"/>
          <w:szCs w:val="18"/>
          <w:color w:val="auto"/>
        </w:rPr>
        <w:t xml:space="preserve">place as may be determined by the Directors, and at these meetings the report of the Directors (if any) shall be presented. </w:t>
      </w:r>
      <w:r>
        <w:rPr>
          <w:rFonts w:ascii="Times New Roman" w:cs="Times New Roman" w:eastAsia="Times New Roman" w:hAnsi="Times New Roman"/>
          <w:sz w:val="18"/>
          <w:szCs w:val="18"/>
          <w:u w:val="single" w:color="auto"/>
          <w:color w:val="auto"/>
        </w:rPr>
        <w:t>A meeting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 or any class thereof may be held by telephone, tele-conferencing or other electronic means, provided that all participants are able to communicate contemporaneously with one another, and participation in a meeting in such manner shall constitute presence at such meetings. All Members’ rights to speak and vote at the meeting are maintained in general meetings attended by electronic means.</w:t>
      </w:r>
    </w:p>
    <w:p>
      <w:pPr>
        <w:spacing w:after="0" w:line="94" w:lineRule="exact"/>
        <w:rPr>
          <w:sz w:val="20"/>
          <w:szCs w:val="20"/>
          <w:color w:val="auto"/>
        </w:rPr>
      </w:pPr>
    </w:p>
    <w:p>
      <w:pPr>
        <w:ind w:left="984" w:right="20" w:hanging="984"/>
        <w:spacing w:after="0" w:line="254" w:lineRule="auto"/>
        <w:tabs>
          <w:tab w:leader="none" w:pos="9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annual general meeting shall be called by not less than 21 days’ notice in writing and any extraordinary general meeting shall be called by not less than 14 days’ notice in writing. Subject to the requirements under the HKSE Listing Rules, every notice shall be exclusive of the day on which it is given or deemed to be given and of the day for which it is given and shall specify the place, the day and the hour of the meeting, particulars of the resolutions </w:t>
      </w:r>
      <w:r>
        <w:rPr>
          <w:rFonts w:ascii="Times New Roman" w:cs="Times New Roman" w:eastAsia="Times New Roman" w:hAnsi="Times New Roman"/>
          <w:sz w:val="18"/>
          <w:szCs w:val="18"/>
          <w:color w:val="auto"/>
          <w:strike w:val="1"/>
        </w:rPr>
        <w:t>and</w:t>
      </w:r>
      <w:r>
        <w:rPr>
          <w:rFonts w:ascii="Times New Roman" w:cs="Times New Roman" w:eastAsia="Times New Roman" w:hAnsi="Times New Roman"/>
          <w:sz w:val="18"/>
          <w:szCs w:val="18"/>
          <w:color w:val="auto"/>
        </w:rPr>
        <w:t>, the general nature of the business to be considered at that meeting</w:t>
      </w:r>
      <w:r>
        <w:rPr>
          <w:rFonts w:ascii="Times New Roman" w:cs="Times New Roman" w:eastAsia="Times New Roman" w:hAnsi="Times New Roman"/>
          <w:sz w:val="18"/>
          <w:szCs w:val="18"/>
          <w:u w:val="single" w:color="auto"/>
          <w:color w:val="auto"/>
        </w:rPr>
        <w:t>, and details for members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 attend the meeting virtually with the use of technology (if applicable),</w:t>
      </w:r>
      <w:r>
        <w:rPr>
          <w:rFonts w:ascii="Times New Roman" w:cs="Times New Roman" w:eastAsia="Times New Roman" w:hAnsi="Times New Roman"/>
          <w:sz w:val="18"/>
          <w:szCs w:val="18"/>
          <w:color w:val="auto"/>
        </w:rPr>
        <w:t xml:space="preserve">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if permitted by the HKSE Listing Rules, be deemed to have been duly convened if it is so agreed:</w:t>
      </w:r>
    </w:p>
    <w:p>
      <w:pPr>
        <w:spacing w:after="0" w:line="9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130" w:lineRule="exact"/>
        <w:rPr>
          <w:rFonts w:ascii="Times New Roman" w:cs="Times New Roman" w:eastAsia="Times New Roman" w:hAnsi="Times New Roman"/>
          <w:sz w:val="18"/>
          <w:szCs w:val="18"/>
          <w:color w:val="auto"/>
        </w:rPr>
      </w:pPr>
    </w:p>
    <w:p>
      <w:pPr>
        <w:ind w:left="1424" w:right="100" w:hanging="439"/>
        <w:spacing w:after="0" w:line="266" w:lineRule="auto"/>
        <w:tabs>
          <w:tab w:leader="none" w:pos="14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(or their proxies) having the right to attend and vote at the meeting, being a majority together representing at least 95% of the total voting rights at the meeting of all the members.</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1004"/>
          </w:cols>
          <w:pgMar w:left="436" w:top="266" w:right="459" w:bottom="1440" w:gutter="0" w:footer="0" w:header="0"/>
        </w:sectPr>
      </w:pPr>
    </w:p>
    <w:bookmarkStart w:id="36" w:name="page37"/>
    <w:bookmarkEnd w:id="3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No.   Proposed amendments</w:t>
      </w:r>
    </w:p>
    <w:p>
      <w:pPr>
        <w:spacing w:after="0" w:line="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(showing changes to the existing articles of association)</w:t>
      </w:r>
    </w:p>
    <w:p>
      <w:pPr>
        <w:spacing w:after="0" w:line="234" w:lineRule="exact"/>
        <w:rPr>
          <w:sz w:val="20"/>
          <w:szCs w:val="20"/>
          <w:color w:val="auto"/>
        </w:rPr>
      </w:pPr>
    </w:p>
    <w:p>
      <w:pPr>
        <w:ind w:left="984" w:right="120" w:hanging="984"/>
        <w:spacing w:after="0" w:line="258" w:lineRule="auto"/>
        <w:tabs>
          <w:tab w:leader="none" w:pos="9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general meeting a resolution put to the vote of the meeting shall be decided by poll except where the chairman of such meeting, in good faith, decides to allow a resolution which relates purely to a procedural or administrative matter to be voted on by a show of hands. Before or on the declaration of the result of the show of hands, a poll may be demanded by any one or more shareholders who together hold Shares carrying not less than 10% of all votes attaching to all of the total issued voting shares of the Company present in person </w:t>
      </w:r>
      <w:r>
        <w:rPr>
          <w:rFonts w:ascii="Times New Roman" w:cs="Times New Roman" w:eastAsia="Times New Roman" w:hAnsi="Times New Roman"/>
          <w:sz w:val="18"/>
          <w:szCs w:val="18"/>
          <w:u w:val="single" w:color="auto"/>
          <w:color w:val="auto"/>
        </w:rPr>
        <w:t>(whether physically or by virtual attendance with the use of technology)</w:t>
      </w:r>
      <w:r>
        <w:rPr>
          <w:rFonts w:ascii="Times New Roman" w:cs="Times New Roman" w:eastAsia="Times New Roman" w:hAnsi="Times New Roman"/>
          <w:sz w:val="18"/>
          <w:szCs w:val="18"/>
          <w:color w:val="auto"/>
        </w:rPr>
        <w:t xml:space="preserve"> or by proxy.</w:t>
      </w:r>
    </w:p>
    <w:p>
      <w:pPr>
        <w:spacing w:after="0" w:line="88" w:lineRule="exact"/>
        <w:rPr>
          <w:rFonts w:ascii="Times New Roman" w:cs="Times New Roman" w:eastAsia="Times New Roman" w:hAnsi="Times New Roman"/>
          <w:sz w:val="18"/>
          <w:szCs w:val="18"/>
          <w:color w:val="auto"/>
        </w:rPr>
      </w:pPr>
    </w:p>
    <w:p>
      <w:pPr>
        <w:ind w:left="984" w:right="200" w:hanging="984"/>
        <w:spacing w:after="0" w:line="282" w:lineRule="auto"/>
        <w:tabs>
          <w:tab w:leader="none" w:pos="9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w:t>
      </w:r>
      <w:r>
        <w:rPr>
          <w:rFonts w:ascii="Times New Roman" w:cs="Times New Roman" w:eastAsia="Times New Roman" w:hAnsi="Times New Roman"/>
          <w:sz w:val="18"/>
          <w:szCs w:val="18"/>
          <w:u w:val="single" w:color="auto"/>
          <w:color w:val="auto"/>
        </w:rPr>
        <w:t>including the use of ballot or voting papers or tickets or electronic means</w:t>
      </w:r>
      <w:r>
        <w:rPr>
          <w:rFonts w:ascii="Times New Roman" w:cs="Times New Roman" w:eastAsia="Times New Roman" w:hAnsi="Times New Roman"/>
          <w:sz w:val="18"/>
          <w:szCs w:val="18"/>
          <w:color w:val="auto"/>
        </w:rPr>
        <w:t>) as the chairman directs, and the result of the poll shall be deemed to be the resolution of the meeting at which the poll was demanded.</w:t>
      </w:r>
    </w:p>
    <w:p>
      <w:pPr>
        <w:spacing w:after="0" w:line="67" w:lineRule="exact"/>
        <w:rPr>
          <w:rFonts w:ascii="Times New Roman" w:cs="Times New Roman" w:eastAsia="Times New Roman" w:hAnsi="Times New Roman"/>
          <w:sz w:val="18"/>
          <w:szCs w:val="18"/>
          <w:color w:val="auto"/>
        </w:rPr>
      </w:pPr>
    </w:p>
    <w:p>
      <w:pPr>
        <w:jc w:val="both"/>
        <w:ind w:left="984" w:right="260" w:hanging="984"/>
        <w:spacing w:after="0" w:line="266" w:lineRule="auto"/>
        <w:tabs>
          <w:tab w:leader="none" w:pos="9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equality of votes, whether on a show of hands or on a poll, </w:t>
      </w:r>
      <w:r>
        <w:rPr>
          <w:rFonts w:ascii="Times New Roman" w:cs="Times New Roman" w:eastAsia="Times New Roman" w:hAnsi="Times New Roman"/>
          <w:sz w:val="18"/>
          <w:szCs w:val="18"/>
          <w:u w:val="single" w:color="auto"/>
          <w:color w:val="auto"/>
        </w:rPr>
        <w:t>(whether physically or by virtual attendance with the 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xml:space="preserve"> the chairman of the meeting at which the show of hands takes place or at which the poll is demanded, shall be entitled to a second or casting vote.</w:t>
      </w:r>
    </w:p>
    <w:p>
      <w:pPr>
        <w:spacing w:after="0" w:line="81" w:lineRule="exact"/>
        <w:rPr>
          <w:sz w:val="20"/>
          <w:szCs w:val="20"/>
          <w:color w:val="auto"/>
        </w:rPr>
      </w:pPr>
    </w:p>
    <w:p>
      <w:pPr>
        <w:ind w:left="984" w:hanging="984"/>
        <w:spacing w:after="0" w:line="256" w:lineRule="auto"/>
        <w:tabs>
          <w:tab w:leader="none" w:pos="9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rights and restrictions for the time being attached to any Share, on a show of hands every Member present in person </w:t>
      </w:r>
      <w:r>
        <w:rPr>
          <w:rFonts w:ascii="Times New Roman" w:cs="Times New Roman" w:eastAsia="Times New Roman" w:hAnsi="Times New Roman"/>
          <w:sz w:val="18"/>
          <w:szCs w:val="18"/>
          <w:u w:val="single" w:color="auto"/>
          <w:color w:val="auto"/>
        </w:rPr>
        <w:t>(whether physically or by virtual attendance with the use of technology)</w:t>
      </w:r>
      <w:r>
        <w:rPr>
          <w:rFonts w:ascii="Times New Roman" w:cs="Times New Roman" w:eastAsia="Times New Roman" w:hAnsi="Times New Roman"/>
          <w:sz w:val="18"/>
          <w:szCs w:val="18"/>
          <w:color w:val="auto"/>
        </w:rPr>
        <w:t xml:space="preserve"> or by proxy and entitled to vote at a general meeting of the Company shall each have one (1) vote and on a poll every Member present in person </w:t>
      </w:r>
      <w:r>
        <w:rPr>
          <w:rFonts w:ascii="Times New Roman" w:cs="Times New Roman" w:eastAsia="Times New Roman" w:hAnsi="Times New Roman"/>
          <w:sz w:val="18"/>
          <w:szCs w:val="18"/>
          <w:u w:val="single" w:color="auto"/>
          <w:color w:val="auto"/>
        </w:rPr>
        <w:t>(whether physically or by virtual attendance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use of technology)</w:t>
      </w:r>
      <w:r>
        <w:rPr>
          <w:rFonts w:ascii="Times New Roman" w:cs="Times New Roman" w:eastAsia="Times New Roman" w:hAnsi="Times New Roman"/>
          <w:sz w:val="18"/>
          <w:szCs w:val="18"/>
          <w:color w:val="auto"/>
        </w:rPr>
        <w:t xml:space="preserve"> or by proxy and entitled to vote shall have one (1) vote for each Class A Ordinary Share of which he is the holder and shall have ten (10) votes for each Class B Ordinary Share of which he/she/it is the holder. </w:t>
      </w:r>
      <w:r>
        <w:rPr>
          <w:rFonts w:ascii="Times New Roman" w:cs="Times New Roman" w:eastAsia="Times New Roman" w:hAnsi="Times New Roman"/>
          <w:sz w:val="18"/>
          <w:szCs w:val="18"/>
          <w:u w:val="single" w:color="auto"/>
          <w:color w:val="auto"/>
        </w:rPr>
        <w:t>For the avoidance of doubt, votes may be cast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 by electronic means, if such means are provided.</w:t>
      </w:r>
    </w:p>
    <w:p>
      <w:pPr>
        <w:spacing w:after="0" w:line="92" w:lineRule="exact"/>
        <w:rPr>
          <w:rFonts w:ascii="Times New Roman" w:cs="Times New Roman" w:eastAsia="Times New Roman" w:hAnsi="Times New Roman"/>
          <w:sz w:val="18"/>
          <w:szCs w:val="18"/>
          <w:color w:val="auto"/>
        </w:rPr>
      </w:pPr>
    </w:p>
    <w:p>
      <w:pPr>
        <w:ind w:left="984" w:right="120" w:hanging="984"/>
        <w:spacing w:after="0" w:line="266" w:lineRule="auto"/>
        <w:tabs>
          <w:tab w:leader="none" w:pos="9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joint holders the vote of the senior who tenders a vote whether in person </w:t>
      </w:r>
      <w:r>
        <w:rPr>
          <w:rFonts w:ascii="Times New Roman" w:cs="Times New Roman" w:eastAsia="Times New Roman" w:hAnsi="Times New Roman"/>
          <w:sz w:val="18"/>
          <w:szCs w:val="18"/>
          <w:u w:val="single" w:color="auto"/>
          <w:color w:val="auto"/>
        </w:rPr>
        <w:t>(whether physically or by virtual attendance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use of technology)</w:t>
      </w:r>
      <w:r>
        <w:rPr>
          <w:rFonts w:ascii="Times New Roman" w:cs="Times New Roman" w:eastAsia="Times New Roman" w:hAnsi="Times New Roman"/>
          <w:sz w:val="18"/>
          <w:szCs w:val="18"/>
          <w:color w:val="auto"/>
        </w:rPr>
        <w:t xml:space="preserve"> or by proxy, shall be accepted to the exclusion of the votes of the other joint holders; and for this purpose seniority shall be determined by the order in which the names stand in the Register of Members.</w:t>
      </w:r>
    </w:p>
    <w:p>
      <w:pPr>
        <w:spacing w:after="0" w:line="81" w:lineRule="exact"/>
        <w:rPr>
          <w:sz w:val="20"/>
          <w:szCs w:val="20"/>
          <w:color w:val="auto"/>
        </w:rPr>
      </w:pPr>
    </w:p>
    <w:p>
      <w:pPr>
        <w:ind w:left="984" w:hanging="984"/>
        <w:spacing w:after="0"/>
        <w:tabs>
          <w:tab w:leader="none" w:pos="9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poll votes may be given either personally </w:t>
      </w:r>
      <w:r>
        <w:rPr>
          <w:rFonts w:ascii="Times New Roman" w:cs="Times New Roman" w:eastAsia="Times New Roman" w:hAnsi="Times New Roman"/>
          <w:sz w:val="18"/>
          <w:szCs w:val="18"/>
          <w:u w:val="single" w:color="auto"/>
          <w:color w:val="auto"/>
        </w:rPr>
        <w:t>(whether physically or by virtual attendance with the use of technology)</w:t>
      </w:r>
      <w:r>
        <w:rPr>
          <w:rFonts w:ascii="Times New Roman" w:cs="Times New Roman" w:eastAsia="Times New Roman" w:hAnsi="Times New Roman"/>
          <w:sz w:val="18"/>
          <w:szCs w:val="18"/>
          <w:color w:val="auto"/>
        </w:rPr>
        <w:t xml:space="preserve"> or by proxy.</w:t>
      </w:r>
    </w:p>
    <w:p>
      <w:pPr>
        <w:spacing w:after="0" w:line="130" w:lineRule="exact"/>
        <w:rPr>
          <w:rFonts w:ascii="Times New Roman" w:cs="Times New Roman" w:eastAsia="Times New Roman" w:hAnsi="Times New Roman"/>
          <w:sz w:val="18"/>
          <w:szCs w:val="18"/>
          <w:color w:val="auto"/>
        </w:rPr>
      </w:pPr>
    </w:p>
    <w:p>
      <w:pPr>
        <w:ind w:left="984" w:right="240" w:hanging="984"/>
        <w:spacing w:after="0" w:line="255" w:lineRule="auto"/>
        <w:tabs>
          <w:tab w:leader="none" w:pos="9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Member shall be entitled to appoint a proxy who needs not necessarily be a Member of the Company. Each Member, other than a recognized clearing house (or its nominee(s)) or depositary (or its nominee(s)), may only appoint one proxy on a show of hand. The instrument appointing a proxy shall be in writing under the hand of the Member or, if the Member is a corporation, either under seal or under the hand of a director or officer or attorney duly authorised. </w:t>
      </w:r>
      <w:r>
        <w:rPr>
          <w:rFonts w:ascii="Times New Roman" w:cs="Times New Roman" w:eastAsia="Times New Roman" w:hAnsi="Times New Roman"/>
          <w:sz w:val="18"/>
          <w:szCs w:val="18"/>
          <w:u w:val="single" w:color="auto"/>
          <w:color w:val="auto"/>
        </w:rPr>
        <w:t>The appointor should be allowed to send the instrument appointing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proxy by electronic means.</w:t>
      </w:r>
      <w:r>
        <w:rPr>
          <w:rFonts w:ascii="Times New Roman" w:cs="Times New Roman" w:eastAsia="Times New Roman" w:hAnsi="Times New Roman"/>
          <w:sz w:val="18"/>
          <w:szCs w:val="18"/>
          <w:color w:val="auto"/>
        </w:rPr>
        <w:t xml:space="preserve"> A proxy need not be a Member of the Company. A member may appoint any number of proxies to attend </w:t>
      </w:r>
      <w:r>
        <w:rPr>
          <w:rFonts w:ascii="Times New Roman" w:cs="Times New Roman" w:eastAsia="Times New Roman" w:hAnsi="Times New Roman"/>
          <w:sz w:val="18"/>
          <w:szCs w:val="18"/>
          <w:u w:val="single" w:color="auto"/>
          <w:color w:val="auto"/>
        </w:rPr>
        <w:t>(whether physically or by virtual attendance with the use of technology)</w:t>
      </w:r>
      <w:r>
        <w:rPr>
          <w:rFonts w:ascii="Times New Roman" w:cs="Times New Roman" w:eastAsia="Times New Roman" w:hAnsi="Times New Roman"/>
          <w:sz w:val="18"/>
          <w:szCs w:val="18"/>
          <w:color w:val="auto"/>
        </w:rPr>
        <w:t xml:space="preserve"> in his stead at any one general meeting (or at any one class meeting).</w:t>
      </w:r>
    </w:p>
    <w:p>
      <w:pPr>
        <w:spacing w:after="0" w:line="94" w:lineRule="exact"/>
        <w:rPr>
          <w:rFonts w:ascii="Times New Roman" w:cs="Times New Roman" w:eastAsia="Times New Roman" w:hAnsi="Times New Roman"/>
          <w:sz w:val="18"/>
          <w:szCs w:val="18"/>
          <w:color w:val="auto"/>
        </w:rPr>
      </w:pPr>
    </w:p>
    <w:p>
      <w:pPr>
        <w:ind w:left="984" w:right="20" w:hanging="984"/>
        <w:spacing w:after="0" w:line="256" w:lineRule="auto"/>
        <w:tabs>
          <w:tab w:leader="none" w:pos="9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instrument appointing a proxy shall be deposited at the Registered Office of the Company or at such other place </w:t>
      </w:r>
      <w:r>
        <w:rPr>
          <w:rFonts w:ascii="Times New Roman" w:cs="Times New Roman" w:eastAsia="Times New Roman" w:hAnsi="Times New Roman"/>
          <w:sz w:val="18"/>
          <w:szCs w:val="18"/>
          <w:u w:val="single" w:color="auto"/>
          <w:color w:val="auto"/>
        </w:rPr>
        <w:t>or in such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manner (including by electronic means</w:t>
      </w:r>
      <w:r>
        <w:rPr>
          <w:rFonts w:ascii="Times New Roman" w:cs="Times New Roman" w:eastAsia="Times New Roman" w:hAnsi="Times New Roman"/>
          <w:sz w:val="18"/>
          <w:szCs w:val="18"/>
          <w:color w:val="auto"/>
        </w:rPr>
        <w:t>) as is specified for that purpose in the notice convening the meeting not less than 48 hours before the time for holding the meeting or adjourned meeting at which the person named in the instrument proposes to vote (</w:t>
      </w:r>
      <w:r>
        <w:rPr>
          <w:rFonts w:ascii="Times New Roman" w:cs="Times New Roman" w:eastAsia="Times New Roman" w:hAnsi="Times New Roman"/>
          <w:sz w:val="18"/>
          <w:szCs w:val="18"/>
          <w:u w:val="single" w:color="auto"/>
          <w:color w:val="auto"/>
        </w:rPr>
        <w:t>whether physically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by virtual attendance with the use of technology</w:t>
      </w:r>
      <w:r>
        <w:rPr>
          <w:rFonts w:ascii="Times New Roman" w:cs="Times New Roman" w:eastAsia="Times New Roman" w:hAnsi="Times New Roman"/>
          <w:sz w:val="18"/>
          <w:szCs w:val="18"/>
          <w:color w:val="auto"/>
        </w:rPr>
        <w:t>), and in default the instrument of proxy shall not be treated as valid PROVIDED THAT the chairman of the meeting may in his discretion accept an instrument of proxy sent by telex or telefax upon receipt of telex or telefax confirmation that the signed original thereof has been sent.</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004"/>
          </w:cols>
          <w:pgMar w:left="436" w:top="266" w:right="45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No.   Proposed amendments</w:t>
      </w:r>
    </w:p>
    <w:p>
      <w:pPr>
        <w:spacing w:after="0" w:line="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(showing changes to the existing articles of association)</w:t>
      </w:r>
    </w:p>
    <w:p>
      <w:pPr>
        <w:spacing w:after="0" w:line="234" w:lineRule="exact"/>
        <w:rPr>
          <w:sz w:val="20"/>
          <w:szCs w:val="20"/>
          <w:color w:val="auto"/>
        </w:rPr>
      </w:pPr>
    </w:p>
    <w:p>
      <w:pPr>
        <w:ind w:left="984" w:hanging="984"/>
        <w:spacing w:after="0"/>
        <w:tabs>
          <w:tab w:leader="none" w:pos="9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of the Company (including a Shareholder which is a recognized clearing house (or its nominee(s))) shall have the right to</w:t>
      </w:r>
    </w:p>
    <w:p>
      <w:pPr>
        <w:spacing w:after="0" w:line="27" w:lineRule="exact"/>
        <w:rPr>
          <w:rFonts w:ascii="Times New Roman" w:cs="Times New Roman" w:eastAsia="Times New Roman" w:hAnsi="Times New Roman"/>
          <w:sz w:val="18"/>
          <w:szCs w:val="18"/>
          <w:color w:val="auto"/>
        </w:rPr>
      </w:pPr>
    </w:p>
    <w:p>
      <w:pPr>
        <w:ind w:left="984" w:right="180" w:firstLine="1"/>
        <w:spacing w:after="0" w:line="252" w:lineRule="auto"/>
        <w:tabs>
          <w:tab w:leader="none" w:pos="122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speak at a general meeting and (b) vote at a general meeting </w:t>
      </w:r>
      <w:r>
        <w:rPr>
          <w:rFonts w:ascii="Times New Roman" w:cs="Times New Roman" w:eastAsia="Times New Roman" w:hAnsi="Times New Roman"/>
          <w:sz w:val="18"/>
          <w:szCs w:val="18"/>
          <w:u w:val="single" w:color="auto"/>
          <w:color w:val="auto"/>
        </w:rPr>
        <w:t>(whether physically or by virtual attendance with the use of technology)</w:t>
      </w:r>
      <w:r>
        <w:rPr>
          <w:rFonts w:ascii="Times New Roman" w:cs="Times New Roman" w:eastAsia="Times New Roman" w:hAnsi="Times New Roman"/>
          <w:sz w:val="18"/>
          <w:szCs w:val="18"/>
          <w:color w:val="auto"/>
        </w:rPr>
        <w:t xml:space="preserve"> except where a Shareholder is required by the HKSE Listing Rules to abstain from voting to approve the matter under consideration. Where any member is, under the HKSE Listing Rules, required to abstain from voting on any particular resolution or restricted to voting only for or only against any particular resolution, any votes cast by or on behalf of such member in contravention of such requirement or restriction shall not be counted. No powers shall be taken to freeze or otherwise impair any of the rights attaching to any share by reason only that the person or persons who are interested directly or indirectly therein have failed to disclose their interests to the Company.</w:t>
      </w:r>
    </w:p>
    <w:p>
      <w:pPr>
        <w:spacing w:after="0" w:line="95" w:lineRule="exact"/>
        <w:rPr>
          <w:rFonts w:ascii="Times New Roman" w:cs="Times New Roman" w:eastAsia="Times New Roman" w:hAnsi="Times New Roman"/>
          <w:sz w:val="18"/>
          <w:szCs w:val="18"/>
          <w:color w:val="auto"/>
        </w:rPr>
      </w:pPr>
    </w:p>
    <w:p>
      <w:pPr>
        <w:ind w:left="984" w:right="80" w:hanging="984"/>
        <w:spacing w:after="0" w:line="258" w:lineRule="auto"/>
        <w:tabs>
          <w:tab w:leader="none" w:pos="9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corporation which is a Member of the Company shall be entitled to authorise such person as it thinks fit to act as its representative to attend and vote at any meeting of the Company or of any class of Members of the Company, and the person so authorised shall be entitled to exercise the same powers on behalf of the corporation which he represents as that corporation could exercise if it were an individual Member of the Company present in person </w:t>
      </w:r>
      <w:r>
        <w:rPr>
          <w:rFonts w:ascii="Times New Roman" w:cs="Times New Roman" w:eastAsia="Times New Roman" w:hAnsi="Times New Roman"/>
          <w:sz w:val="18"/>
          <w:szCs w:val="18"/>
          <w:u w:val="single" w:color="auto"/>
          <w:color w:val="auto"/>
        </w:rPr>
        <w:t>(whether physically or by virtual attendance with the use of technology)</w:t>
      </w:r>
      <w:r>
        <w:rPr>
          <w:rFonts w:ascii="Times New Roman" w:cs="Times New Roman" w:eastAsia="Times New Roman" w:hAnsi="Times New Roman"/>
          <w:sz w:val="18"/>
          <w:szCs w:val="18"/>
          <w:color w:val="auto"/>
        </w:rPr>
        <w:t xml:space="preserve"> at any general meeting.</w:t>
      </w:r>
    </w:p>
    <w:p>
      <w:pPr>
        <w:spacing w:after="0" w:line="88" w:lineRule="exact"/>
        <w:rPr>
          <w:rFonts w:ascii="Times New Roman" w:cs="Times New Roman" w:eastAsia="Times New Roman" w:hAnsi="Times New Roman"/>
          <w:sz w:val="18"/>
          <w:szCs w:val="18"/>
          <w:color w:val="auto"/>
        </w:rPr>
      </w:pPr>
    </w:p>
    <w:p>
      <w:pPr>
        <w:ind w:left="984" w:hanging="984"/>
        <w:spacing w:after="0" w:line="253" w:lineRule="auto"/>
        <w:tabs>
          <w:tab w:leader="none" w:pos="9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recognized clearing house (or its nominee(s)) or depositary (or its nominee(s)) is a Member of the Company, it may, by resolution of its directors or other governing body or by power of attorney, appoint proxies or authorize such person(s) as it thinks fit to act as its representative(s), who enjoy rights equivalent to the rights of other Members, at any general meeting of the Company (including but not limited to general meetings and creditors meetings)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 including the right to speak and vote individually </w:t>
      </w:r>
      <w:r>
        <w:rPr>
          <w:rFonts w:ascii="Times New Roman" w:cs="Times New Roman" w:eastAsia="Times New Roman" w:hAnsi="Times New Roman"/>
          <w:sz w:val="18"/>
          <w:szCs w:val="18"/>
          <w:u w:val="single" w:color="auto"/>
          <w:color w:val="auto"/>
        </w:rPr>
        <w:t>(whether physically or by virtual attendance with the use of technology)</w:t>
      </w:r>
      <w:r>
        <w:rPr>
          <w:rFonts w:ascii="Times New Roman" w:cs="Times New Roman" w:eastAsia="Times New Roman" w:hAnsi="Times New Roman"/>
          <w:sz w:val="18"/>
          <w:szCs w:val="18"/>
          <w:color w:val="auto"/>
        </w:rPr>
        <w:t xml:space="preserve"> on a show of hands or on a poll.</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004"/>
          </w:cols>
          <w:pgMar w:left="436" w:top="266" w:right="45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No.   Proposed amendments</w:t>
      </w:r>
    </w:p>
    <w:p>
      <w:pPr>
        <w:spacing w:after="0" w:line="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(showing changes to the existing articles of association)</w:t>
      </w:r>
    </w:p>
    <w:p>
      <w:pPr>
        <w:spacing w:after="0" w:line="234" w:lineRule="exact"/>
        <w:rPr>
          <w:sz w:val="20"/>
          <w:szCs w:val="20"/>
          <w:color w:val="auto"/>
        </w:rPr>
      </w:pPr>
    </w:p>
    <w:p>
      <w:pPr>
        <w:ind w:left="984" w:right="440" w:hanging="984"/>
        <w:spacing w:after="0" w:line="282" w:lineRule="auto"/>
        <w:tabs>
          <w:tab w:leader="none" w:pos="9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establish a Nomination Committee with specific written terms of reference which deal clearly with the authority and duties of such committee. The Nomination Committee shall perform the following duties:</w:t>
      </w:r>
    </w:p>
    <w:p>
      <w:pPr>
        <w:spacing w:after="0" w:line="67" w:lineRule="exact"/>
        <w:rPr>
          <w:rFonts w:ascii="Times New Roman" w:cs="Times New Roman" w:eastAsia="Times New Roman" w:hAnsi="Times New Roman"/>
          <w:sz w:val="18"/>
          <w:szCs w:val="18"/>
          <w:color w:val="auto"/>
        </w:rPr>
      </w:pPr>
    </w:p>
    <w:p>
      <w:pPr>
        <w:ind w:left="1424" w:hanging="439"/>
        <w:spacing w:after="0" w:line="266" w:lineRule="auto"/>
        <w:tabs>
          <w:tab w:leader="none" w:pos="14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review</w:t>
      </w:r>
      <w:r>
        <w:rPr>
          <w:rFonts w:ascii="Times New Roman" w:cs="Times New Roman" w:eastAsia="Times New Roman" w:hAnsi="Times New Roman"/>
          <w:sz w:val="18"/>
          <w:szCs w:val="18"/>
          <w:u w:val="single" w:color="auto"/>
          <w:color w:val="auto"/>
        </w:rPr>
        <w:t>reviewing</w:t>
      </w:r>
      <w:r>
        <w:rPr>
          <w:rFonts w:ascii="Times New Roman" w:cs="Times New Roman" w:eastAsia="Times New Roman" w:hAnsi="Times New Roman"/>
          <w:sz w:val="18"/>
          <w:szCs w:val="18"/>
          <w:color w:val="auto"/>
        </w:rPr>
        <w:t xml:space="preserve"> the structure, size and composition (including the skills, knowledge and experience) of the Board at least annually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assisting the board in maintaining a board skills matrix,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auto"/>
          <w:strike w:val="1"/>
        </w:rPr>
        <w:t>make</w:t>
      </w:r>
      <w:r>
        <w:rPr>
          <w:rFonts w:ascii="Times New Roman" w:cs="Times New Roman" w:eastAsia="Times New Roman" w:hAnsi="Times New Roman"/>
          <w:sz w:val="18"/>
          <w:szCs w:val="18"/>
          <w:u w:val="single" w:color="auto"/>
          <w:color w:val="auto"/>
        </w:rPr>
        <w:t>making</w:t>
      </w:r>
      <w:r>
        <w:rPr>
          <w:rFonts w:ascii="Times New Roman" w:cs="Times New Roman" w:eastAsia="Times New Roman" w:hAnsi="Times New Roman"/>
          <w:sz w:val="18"/>
          <w:szCs w:val="18"/>
          <w:color w:val="auto"/>
        </w:rPr>
        <w:t xml:space="preserve"> recommendations on any proposed changes to the Board to complement the Company’s corporate strategy;</w:t>
      </w:r>
    </w:p>
    <w:p>
      <w:pPr>
        <w:spacing w:after="0" w:line="81" w:lineRule="exact"/>
        <w:rPr>
          <w:rFonts w:ascii="Times New Roman" w:cs="Times New Roman" w:eastAsia="Times New Roman" w:hAnsi="Times New Roman"/>
          <w:sz w:val="18"/>
          <w:szCs w:val="18"/>
          <w:color w:val="auto"/>
        </w:rPr>
      </w:pPr>
    </w:p>
    <w:p>
      <w:pPr>
        <w:ind w:left="1424" w:right="460" w:hanging="439"/>
        <w:spacing w:after="0" w:line="282" w:lineRule="auto"/>
        <w:tabs>
          <w:tab w:leader="none" w:pos="14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identify</w:t>
      </w:r>
      <w:r>
        <w:rPr>
          <w:rFonts w:ascii="Times New Roman" w:cs="Times New Roman" w:eastAsia="Times New Roman" w:hAnsi="Times New Roman"/>
          <w:sz w:val="18"/>
          <w:szCs w:val="18"/>
          <w:u w:val="single" w:color="auto"/>
          <w:color w:val="auto"/>
        </w:rPr>
        <w:t>identifying</w:t>
      </w:r>
      <w:r>
        <w:rPr>
          <w:rFonts w:ascii="Times New Roman" w:cs="Times New Roman" w:eastAsia="Times New Roman" w:hAnsi="Times New Roman"/>
          <w:sz w:val="18"/>
          <w:szCs w:val="18"/>
          <w:color w:val="auto"/>
        </w:rPr>
        <w:t xml:space="preserve"> individuals suitably qualified to become Directors and select or make recommendations to the board on the selection of individuals nominated for directorships;</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assess</w:t>
      </w:r>
      <w:r>
        <w:rPr>
          <w:rFonts w:ascii="Times New Roman" w:cs="Times New Roman" w:eastAsia="Times New Roman" w:hAnsi="Times New Roman"/>
          <w:sz w:val="18"/>
          <w:szCs w:val="18"/>
          <w:u w:val="single" w:color="auto"/>
          <w:color w:val="auto"/>
        </w:rPr>
        <w:t>assessing</w:t>
      </w:r>
      <w:r>
        <w:rPr>
          <w:rFonts w:ascii="Times New Roman" w:cs="Times New Roman" w:eastAsia="Times New Roman" w:hAnsi="Times New Roman"/>
          <w:sz w:val="18"/>
          <w:szCs w:val="18"/>
          <w:color w:val="auto"/>
        </w:rPr>
        <w:t xml:space="preserve"> the independence of Independent Non-executive Directors; </w:t>
      </w:r>
      <w:r>
        <w:rPr>
          <w:rFonts w:ascii="Times New Roman" w:cs="Times New Roman" w:eastAsia="Times New Roman" w:hAnsi="Times New Roman"/>
          <w:sz w:val="18"/>
          <w:szCs w:val="18"/>
          <w:color w:val="auto"/>
          <w:strike w:val="1"/>
        </w:rPr>
        <w:t>and</w:t>
      </w:r>
    </w:p>
    <w:p>
      <w:pPr>
        <w:spacing w:after="0" w:line="130" w:lineRule="exact"/>
        <w:rPr>
          <w:rFonts w:ascii="Times New Roman" w:cs="Times New Roman" w:eastAsia="Times New Roman" w:hAnsi="Times New Roman"/>
          <w:sz w:val="18"/>
          <w:szCs w:val="18"/>
          <w:color w:val="auto"/>
        </w:rPr>
      </w:pPr>
    </w:p>
    <w:p>
      <w:pPr>
        <w:ind w:left="1424" w:right="700" w:hanging="439"/>
        <w:spacing w:after="0" w:line="282" w:lineRule="auto"/>
        <w:tabs>
          <w:tab w:leader="none" w:pos="14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make</w:t>
      </w:r>
      <w:r>
        <w:rPr>
          <w:rFonts w:ascii="Times New Roman" w:cs="Times New Roman" w:eastAsia="Times New Roman" w:hAnsi="Times New Roman"/>
          <w:sz w:val="18"/>
          <w:szCs w:val="18"/>
          <w:u w:val="single" w:color="auto"/>
          <w:color w:val="auto"/>
        </w:rPr>
        <w:t>making</w:t>
      </w:r>
      <w:r>
        <w:rPr>
          <w:rFonts w:ascii="Times New Roman" w:cs="Times New Roman" w:eastAsia="Times New Roman" w:hAnsi="Times New Roman"/>
          <w:sz w:val="18"/>
          <w:szCs w:val="18"/>
          <w:color w:val="auto"/>
        </w:rPr>
        <w:t xml:space="preserve"> recommendations to the Board on the appointment or reappointment of Directors and succession planning for Directors, in particular the chairman and the chief executive</w:t>
      </w:r>
      <w:r>
        <w:rPr>
          <w:rFonts w:ascii="Times New Roman" w:cs="Times New Roman" w:eastAsia="Times New Roman" w:hAnsi="Times New Roman"/>
          <w:sz w:val="18"/>
          <w:szCs w:val="18"/>
          <w:u w:val="single" w:color="auto"/>
          <w:color w:val="auto"/>
        </w:rPr>
        <w:t>; and</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supporting the Company’s regular evaluation of the Board’s performance.</w:t>
      </w:r>
    </w:p>
    <w:p>
      <w:pPr>
        <w:spacing w:after="0" w:line="131" w:lineRule="exact"/>
        <w:rPr>
          <w:sz w:val="20"/>
          <w:szCs w:val="20"/>
          <w:color w:val="auto"/>
        </w:rPr>
      </w:pPr>
    </w:p>
    <w:p>
      <w:pPr>
        <w:ind w:left="984" w:right="340" w:hanging="984"/>
        <w:spacing w:after="0" w:line="266" w:lineRule="auto"/>
        <w:tabs>
          <w:tab w:leader="none" w:pos="9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Nomination Committee shall comprise a majority of Independent Non-executive Directors, and the chairman of the Nomination Committee shall be an Independent Non-executive Director. </w:t>
      </w:r>
      <w:r>
        <w:rPr>
          <w:rFonts w:ascii="Times New Roman" w:cs="Times New Roman" w:eastAsia="Times New Roman" w:hAnsi="Times New Roman"/>
          <w:sz w:val="18"/>
          <w:szCs w:val="18"/>
          <w:u w:val="single" w:color="auto"/>
          <w:color w:val="auto"/>
        </w:rPr>
        <w:t>At least one member of the Nomination Committee shall be of a different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gender.</w:t>
      </w:r>
    </w:p>
    <w:p>
      <w:pPr>
        <w:spacing w:after="0" w:line="81" w:lineRule="exact"/>
        <w:rPr>
          <w:sz w:val="20"/>
          <w:szCs w:val="20"/>
          <w:color w:val="auto"/>
        </w:rPr>
      </w:pPr>
    </w:p>
    <w:p>
      <w:pPr>
        <w:ind w:left="984" w:right="200" w:hanging="984"/>
        <w:spacing w:after="0" w:line="282" w:lineRule="auto"/>
        <w:tabs>
          <w:tab w:leader="none" w:pos="9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comply with the Exchange Rules regarding </w:t>
      </w:r>
      <w:r>
        <w:rPr>
          <w:rFonts w:ascii="Times New Roman" w:cs="Times New Roman" w:eastAsia="Times New Roman" w:hAnsi="Times New Roman"/>
          <w:sz w:val="18"/>
          <w:szCs w:val="18"/>
          <w:color w:val="auto"/>
          <w:strike w:val="1"/>
        </w:rPr>
        <w:t>shareholders’ engagement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 with Members, including but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 limited to section F of Appendix C1 to the HKSE Listing Rules</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0984"/>
          </w:cols>
          <w:pgMar w:left="436" w:top="266"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D DEFINITIONS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this proxy statement/circular, unless the context otherwise requires, the following expressions have the following meanings:</w:t>
      </w:r>
    </w:p>
    <w:p>
      <w:pPr>
        <w:sectPr>
          <w:pgSz w:w="11900" w:h="16838" w:orient="portrait"/>
          <w:cols w:equalWidth="0" w:num="1">
            <w:col w:w="10960"/>
          </w:cols>
          <w:pgMar w:left="440" w:top="266" w:right="49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equity incentive plan approved and adopted in June 2020, as amended and restated in August 2020 and June 2021</w:t>
      </w:r>
    </w:p>
    <w:p>
      <w:pPr>
        <w:spacing w:after="0" w:line="50"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“2025 Share Incentive Scheme”</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share incentive scheme adopted by the Board on March 18, 2025 and approved by the Shareholders on June 27, 2025</w:t>
      </w:r>
    </w:p>
    <w:p>
      <w:pPr>
        <w:spacing w:after="0" w:line="50"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American depositary shares, each of which represents two Class A Ordinary Shares</w:t>
      </w:r>
    </w:p>
    <w:p>
      <w:pPr>
        <w:spacing w:after="0" w:line="125"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“AGM”</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the annual general meeting of the Company to be held at T2, XPENG Tech Park, No. 10, Cencun Fengzhuang Avenue, Tianhe District, Guangzhou, PRC at 10:00 a.m. Hong Kong time on June 26, 2026 or any adjournment thereof</w:t>
      </w:r>
    </w:p>
    <w:p>
      <w:pPr>
        <w:spacing w:after="0" w:line="64"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board of directors of the Company or a duly authorized administration committee thereof or such other committee as the Board may authorize</w:t>
      </w:r>
    </w:p>
    <w:p>
      <w:pPr>
        <w:spacing w:after="0" w:line="50"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class A ordinary shares of the share capital of the Company with a</w:t>
      </w:r>
    </w:p>
    <w:p>
      <w:pPr>
        <w:spacing w:after="0" w:line="12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ind w:left="3200" w:right="340"/>
        <w:spacing w:after="0" w:line="282" w:lineRule="auto"/>
        <w:rPr>
          <w:sz w:val="20"/>
          <w:szCs w:val="20"/>
          <w:color w:val="auto"/>
        </w:rPr>
      </w:pPr>
      <w:r>
        <w:rPr>
          <w:rFonts w:ascii="Times New Roman" w:cs="Times New Roman" w:eastAsia="Times New Roman" w:hAnsi="Times New Roman"/>
          <w:sz w:val="18"/>
          <w:szCs w:val="18"/>
          <w:color w:val="auto"/>
        </w:rPr>
        <w:t>par value of US$0.00001 each, conferring a holder of a class A ordinary share one vote per share on all matters subject to the vote at general meetings of the Company</w:t>
      </w:r>
    </w:p>
    <w:p>
      <w:pPr>
        <w:sectPr>
          <w:pgSz w:w="11900" w:h="16838" w:orient="portrait"/>
          <w:cols w:equalWidth="0" w:num="1">
            <w:col w:w="10960"/>
          </w:cols>
          <w:pgMar w:left="440" w:top="266" w:right="49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B Ordinary Shares”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class B ordinary shares of the share capital of the Company with</w:t>
      </w:r>
    </w:p>
    <w:p>
      <w:pPr>
        <w:spacing w:after="0" w:line="12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ind w:left="3200" w:right="20"/>
        <w:spacing w:after="0" w:line="261" w:lineRule="auto"/>
        <w:rPr>
          <w:sz w:val="20"/>
          <w:szCs w:val="20"/>
          <w:color w:val="auto"/>
        </w:rPr>
      </w:pPr>
      <w:r>
        <w:rPr>
          <w:rFonts w:ascii="Times New Roman" w:cs="Times New Roman" w:eastAsia="Times New Roman" w:hAnsi="Times New Roman"/>
          <w:sz w:val="18"/>
          <w:szCs w:val="18"/>
          <w:color w:val="auto"/>
        </w:rPr>
        <w:t>a par value of US$0.00001 each, conferring weighted voting rights in the Company such that a holder of a class B ordinary share is entitled to ten votes per share on all matters subject to the vote at general meetings of the Company, subject to the requirements under Rule 8A.24 of the Hong Kong Listing Rules that the reserved matters shall be voted on a one vote per share basis</w:t>
      </w:r>
    </w:p>
    <w:p>
      <w:pPr>
        <w:sectPr>
          <w:pgSz w:w="11900" w:h="16838" w:orient="portrait"/>
          <w:cols w:equalWidth="0" w:num="1">
            <w:col w:w="10960"/>
          </w:cols>
          <w:pgMar w:left="440" w:top="266" w:right="49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“close associate(s)”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have the meaning ascribed to it under the Hong Kong Listing Rules</w:t>
      </w:r>
    </w:p>
    <w:p>
      <w:pPr>
        <w:spacing w:after="0" w:line="125"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XPeng Inc.</w:t>
      </w:r>
    </w:p>
    <w:p>
      <w:pPr>
        <w:spacing w:after="0" w:line="125"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“control”</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shall have the meaning ascribed thereto under the Codes on Takeovers and Mergers and Share Buy-backs issued by the Securities and Futures Commission</w:t>
      </w:r>
    </w:p>
    <w:p>
      <w:pPr>
        <w:spacing w:after="0" w:line="50"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“core connected person(s)”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shall have the meaning ascribed to it under the Hong Kong Listing Rules</w:t>
      </w:r>
    </w:p>
    <w:p>
      <w:pPr>
        <w:spacing w:after="0" w:line="125"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124"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directors of the Company</w:t>
      </w:r>
    </w:p>
    <w:p>
      <w:pPr>
        <w:spacing w:after="0" w:line="124"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 and its subsidiaries and consolidated variable interest entities from time to time</w:t>
      </w:r>
    </w:p>
    <w:p>
      <w:pPr>
        <w:spacing w:after="0" w:line="169" w:lineRule="exact"/>
        <w:rPr>
          <w:sz w:val="20"/>
          <w:szCs w:val="20"/>
          <w:color w:val="auto"/>
        </w:rPr>
      </w:pPr>
    </w:p>
    <w:p>
      <w:pPr>
        <w:sectPr>
          <w:pgSz w:w="11900" w:h="16838" w:orient="portrait"/>
          <w:cols w:equalWidth="0" w:num="2">
            <w:col w:w="2480" w:space="720"/>
            <w:col w:w="7760"/>
          </w:cols>
          <w:pgMar w:left="440" w:top="266"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0960"/>
          </w:cols>
          <w:pgMar w:left="440" w:top="266" w:right="4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“Hong Kong”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Hong Kong Special Administrative Region of the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-206375</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2480" w:space="720"/>
            <w:col w:w="7720"/>
          </w:cols>
          <w:pgMar w:left="440" w:top="266" w:right="5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“Hong Kong Listing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Rules Governing the Listing of Securities on The Stock Exchange of Hong Kong Limited</w:t>
      </w:r>
    </w:p>
    <w:p>
      <w:pPr>
        <w:spacing w:after="0" w:line="125" w:lineRule="exact"/>
        <w:rPr>
          <w:sz w:val="20"/>
          <w:szCs w:val="20"/>
          <w:color w:val="auto"/>
        </w:rPr>
      </w:pPr>
    </w:p>
    <w:p>
      <w:pPr>
        <w:sectPr>
          <w:pgSz w:w="11900" w:h="16838" w:orient="portrait"/>
          <w:cols w:equalWidth="0" w:num="2">
            <w:col w:w="2480" w:space="720"/>
            <w:col w:w="772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“Latest Practicable Date”</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May 7, 2026, being the latest practicable date prior to the printing of this proxy statement/circular for ascertaining information for inclusion in this proxy statement/circular</w:t>
      </w:r>
    </w:p>
    <w:p>
      <w:pPr>
        <w:spacing w:after="0" w:line="50" w:lineRule="exact"/>
        <w:rPr>
          <w:sz w:val="20"/>
          <w:szCs w:val="20"/>
          <w:color w:val="auto"/>
        </w:rPr>
      </w:pPr>
    </w:p>
    <w:p>
      <w:pPr>
        <w:sectPr>
          <w:pgSz w:w="11900" w:h="16838" w:orient="portrait"/>
          <w:cols w:equalWidth="0" w:num="2">
            <w:col w:w="2480" w:space="720"/>
            <w:col w:w="772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“New York Stock Exchange” or</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New York Stock Exchange of the United States</w:t>
      </w:r>
    </w:p>
    <w:p>
      <w:pPr>
        <w:spacing w:after="0" w:line="340" w:lineRule="exact"/>
        <w:rPr>
          <w:sz w:val="20"/>
          <w:szCs w:val="20"/>
          <w:color w:val="auto"/>
        </w:rPr>
      </w:pPr>
    </w:p>
    <w:p>
      <w:pPr>
        <w:sectPr>
          <w:pgSz w:w="11900" w:h="16838" w:orient="portrait"/>
          <w:cols w:equalWidth="0" w:num="2">
            <w:col w:w="2480" w:space="720"/>
            <w:col w:w="772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means Class A Ordinary Shares and Class B Ordinary Shares in the share capital of the Company, as the context so requires</w:t>
      </w:r>
    </w:p>
    <w:p>
      <w:pPr>
        <w:spacing w:after="0" w:line="50" w:lineRule="exact"/>
        <w:rPr>
          <w:sz w:val="20"/>
          <w:szCs w:val="20"/>
          <w:color w:val="auto"/>
        </w:rPr>
      </w:pPr>
    </w:p>
    <w:p>
      <w:pPr>
        <w:sectPr>
          <w:pgSz w:w="11900" w:h="16838" w:orient="portrait"/>
          <w:cols w:equalWidth="0" w:num="2">
            <w:col w:w="2480" w:space="720"/>
            <w:col w:w="772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holder(s) of Share(s)</w:t>
      </w:r>
    </w:p>
    <w:p>
      <w:pPr>
        <w:spacing w:after="0" w:line="124" w:lineRule="exact"/>
        <w:rPr>
          <w:sz w:val="20"/>
          <w:szCs w:val="20"/>
          <w:color w:val="auto"/>
        </w:rPr>
      </w:pPr>
    </w:p>
    <w:p>
      <w:pPr>
        <w:sectPr>
          <w:pgSz w:w="11900" w:h="16838" w:orient="portrait"/>
          <w:cols w:equalWidth="0" w:num="2">
            <w:col w:w="2480" w:space="720"/>
            <w:col w:w="772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“Stock Exchange” or “Hong Kong</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Stock Exchange of Hong Kong Limited</w:t>
      </w:r>
    </w:p>
    <w:p>
      <w:pPr>
        <w:spacing w:after="0" w:line="340" w:lineRule="exact"/>
        <w:rPr>
          <w:sz w:val="20"/>
          <w:szCs w:val="20"/>
          <w:color w:val="auto"/>
        </w:rPr>
      </w:pPr>
    </w:p>
    <w:p>
      <w:pPr>
        <w:sectPr>
          <w:pgSz w:w="11900" w:h="16838" w:orient="portrait"/>
          <w:cols w:equalWidth="0" w:num="2">
            <w:col w:w="2640" w:space="560"/>
            <w:col w:w="772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“treasury shares”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shall have the meaning given to it in the Hong Kong Listing Rules. For the avoidance of doubt, treasury shares do not include the Class A Ordinary Shares issued to the Depositary, which are reserved for the bulk issuance of ADSs</w:t>
      </w:r>
    </w:p>
    <w:p>
      <w:pPr>
        <w:spacing w:after="0" w:line="64" w:lineRule="exact"/>
        <w:rPr>
          <w:sz w:val="20"/>
          <w:szCs w:val="20"/>
          <w:color w:val="auto"/>
        </w:rPr>
      </w:pPr>
    </w:p>
    <w:p>
      <w:pPr>
        <w:sectPr>
          <w:pgSz w:w="11900" w:h="16838" w:orient="portrait"/>
          <w:cols w:equalWidth="0" w:num="2">
            <w:col w:w="2480" w:space="720"/>
            <w:col w:w="772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per cent</w:t>
      </w:r>
    </w:p>
    <w:p>
      <w:pPr>
        <w:spacing w:after="0" w:line="169" w:lineRule="exact"/>
        <w:rPr>
          <w:sz w:val="20"/>
          <w:szCs w:val="20"/>
          <w:color w:val="auto"/>
        </w:rPr>
      </w:pPr>
    </w:p>
    <w:p>
      <w:pPr>
        <w:sectPr>
          <w:pgSz w:w="11900" w:h="16838" w:orient="portrait"/>
          <w:cols w:equalWidth="0" w:num="2">
            <w:col w:w="2480" w:space="720"/>
            <w:col w:w="7720"/>
          </w:cols>
          <w:pgMar w:left="440" w:top="266" w:right="53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0920"/>
          </w:cols>
          <w:pgMar w:left="440" w:top="266" w:right="5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tc>
        <w:tc>
          <w:tcPr>
            <w:tcW w:w="0" w:type="dxa"/>
            <w:vAlign w:val="bottom"/>
          </w:tcPr>
          <w:p>
            <w:pPr>
              <w:spacing w:after="0"/>
              <w:rPr>
                <w:sz w:val="1"/>
                <w:szCs w:val="1"/>
                <w:color w:val="auto"/>
              </w:rPr>
            </w:pPr>
          </w:p>
        </w:tc>
      </w:tr>
      <w:tr>
        <w:trPr>
          <w:trHeight w:val="243"/>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Cayman Islands Company No. 346382</w:t>
            </w:r>
          </w:p>
        </w:tc>
        <w:tc>
          <w:tcPr>
            <w:tcW w:w="37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Number of ordinary shares to which this form of</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Class A ordinary shares</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378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Times New Roman" w:cs="Times New Roman" w:eastAsia="Times New Roman" w:hAnsi="Times New Roman"/>
                <w:sz w:val="17"/>
                <w:szCs w:val="17"/>
                <w:color w:val="auto"/>
              </w:rPr>
              <w:t xml:space="preserve">proxy relates </w:t>
            </w:r>
            <w:r>
              <w:rPr>
                <w:rFonts w:ascii="Times New Roman" w:cs="Times New Roman" w:eastAsia="Times New Roman" w:hAnsi="Times New Roman"/>
                <w:sz w:val="24"/>
                <w:szCs w:val="24"/>
                <w:i w:val="1"/>
                <w:iCs w:val="1"/>
                <w:color w:val="auto"/>
                <w:vertAlign w:val="superscript"/>
              </w:rPr>
              <w:t>(Note 1)</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Class B ordinary shares</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31" w:lineRule="exact"/>
        <w:rPr>
          <w:sz w:val="20"/>
          <w:szCs w:val="20"/>
          <w:color w:val="auto"/>
        </w:rPr>
      </w:pPr>
    </w:p>
    <w:p>
      <w:pPr>
        <w:jc w:val="center"/>
        <w:spacing w:after="0" w:line="207" w:lineRule="exact"/>
        <w:rPr>
          <w:sz w:val="20"/>
          <w:szCs w:val="20"/>
          <w:color w:val="auto"/>
        </w:rPr>
      </w:pPr>
      <w:r>
        <w:rPr>
          <w:rFonts w:ascii="PMingLiU" w:cs="PMingLiU" w:eastAsia="PMingLiU" w:hAnsi="PMingLiU"/>
          <w:sz w:val="16"/>
          <w:szCs w:val="16"/>
          <w:color w:val="auto"/>
          <w:highlight w:val="black"/>
        </w:rPr>
        <w:t>小鵬集團</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(NYSE Ticker: XPEV, HKEx Stock Code: 9868)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FOR ANNUAL GENERAL MEETING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434"/>
        </w:trPr>
        <w:tc>
          <w:tcPr>
            <w:tcW w:w="900" w:type="dxa"/>
            <w:vAlign w:val="bottom"/>
            <w:gridSpan w:val="3"/>
          </w:tcPr>
          <w:p>
            <w:pPr>
              <w:spacing w:after="0"/>
              <w:rPr>
                <w:sz w:val="20"/>
                <w:szCs w:val="20"/>
                <w:color w:val="auto"/>
              </w:rPr>
            </w:pPr>
            <w:r>
              <w:rPr>
                <w:rFonts w:ascii="Times New Roman" w:cs="Times New Roman" w:eastAsia="Times New Roman" w:hAnsi="Times New Roman"/>
                <w:sz w:val="35"/>
                <w:szCs w:val="35"/>
                <w:color w:val="auto"/>
                <w:w w:val="89"/>
                <w:vertAlign w:val="subscript"/>
              </w:rPr>
              <w:t>I/We</w:t>
            </w:r>
            <w:r>
              <w:rPr>
                <w:rFonts w:ascii="Times New Roman" w:cs="Times New Roman" w:eastAsia="Times New Roman" w:hAnsi="Times New Roman"/>
                <w:sz w:val="13"/>
                <w:szCs w:val="13"/>
                <w:i w:val="1"/>
                <w:iCs w:val="1"/>
                <w:color w:val="auto"/>
                <w:w w:val="89"/>
              </w:rPr>
              <w:t xml:space="preserve">(Note 2) </w:t>
            </w:r>
            <w:r>
              <w:rPr>
                <w:rFonts w:ascii="Times New Roman" w:cs="Times New Roman" w:eastAsia="Times New Roman" w:hAnsi="Times New Roman"/>
                <w:sz w:val="35"/>
                <w:szCs w:val="35"/>
                <w:color w:val="auto"/>
                <w:w w:val="89"/>
                <w:vertAlign w:val="subscript"/>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of           </w:t>
            </w: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tcBorders>
              <w:top w:val="single" w:sz="8" w:color="auto"/>
            </w:tcBorders>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00" w:type="dxa"/>
            <w:vAlign w:val="bottom"/>
          </w:tcPr>
          <w:p>
            <w:pPr>
              <w:spacing w:after="0" w:line="20" w:lineRule="exact"/>
              <w:rPr>
                <w:sz w:val="1"/>
                <w:szCs w:val="1"/>
                <w:color w:val="auto"/>
              </w:rPr>
            </w:pPr>
          </w:p>
        </w:tc>
        <w:tc>
          <w:tcPr>
            <w:tcW w:w="176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760" w:type="dxa"/>
            <w:vAlign w:val="bottom"/>
            <w:gridSpan w:val="18"/>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196"/>
        </w:trPr>
        <w:tc>
          <w:tcPr>
            <w:tcW w:w="2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w w:val="95"/>
              </w:rPr>
              <w:t>being (a) shareholder(s) of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3760" w:type="dxa"/>
            <w:vAlign w:val="bottom"/>
            <w:gridSpan w:val="18"/>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Class A ordinary share(s)/Class B ordinary share(s)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-539115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auto"/>
        <w:rPr>
          <w:sz w:val="20"/>
          <w:szCs w:val="20"/>
          <w:color w:val="auto"/>
        </w:rPr>
      </w:pPr>
      <w:r>
        <w:rPr>
          <w:rFonts w:ascii="Times New Roman" w:cs="Times New Roman" w:eastAsia="Times New Roman" w:hAnsi="Times New Roman"/>
          <w:sz w:val="26"/>
          <w:szCs w:val="26"/>
          <w:i w:val="1"/>
          <w:iCs w:val="1"/>
          <w:color w:val="auto"/>
          <w:vertAlign w:val="superscript"/>
        </w:rPr>
        <w:t>(Note 3)</w:t>
      </w:r>
      <w:r>
        <w:rPr>
          <w:rFonts w:ascii="Times New Roman" w:cs="Times New Roman" w:eastAsia="Times New Roman" w:hAnsi="Times New Roman"/>
          <w:sz w:val="18"/>
          <w:szCs w:val="18"/>
          <w:color w:val="auto"/>
        </w:rPr>
        <w:t xml:space="preserve"> in the issued share capital of the Company with a par value of US$0.00001 each, hereby appoint the Chairman of the meeting</w:t>
      </w:r>
      <w:r>
        <w:rPr>
          <w:rFonts w:ascii="Times New Roman" w:cs="Times New Roman" w:eastAsia="Times New Roman" w:hAnsi="Times New Roman"/>
          <w:sz w:val="26"/>
          <w:szCs w:val="26"/>
          <w:i w:val="1"/>
          <w:iCs w:val="1"/>
          <w:color w:val="auto"/>
          <w:vertAlign w:val="superscript"/>
        </w:rPr>
        <w:t>(Note 4)</w:t>
      </w:r>
      <w:r>
        <w:rPr>
          <w:rFonts w:ascii="Times New Roman" w:cs="Times New Roman" w:eastAsia="Times New Roman" w:hAnsi="Times New Roman"/>
          <w:sz w:val="18"/>
          <w:szCs w:val="18"/>
          <w:color w:val="auto"/>
        </w:rPr>
        <w:t xml:space="preserve"> or</w:t>
      </w:r>
    </w:p>
    <w:p>
      <w:pPr>
        <w:ind w:right="200"/>
        <w:spacing w:after="0" w:line="254" w:lineRule="auto"/>
        <w:rPr>
          <w:sz w:val="20"/>
          <w:szCs w:val="20"/>
          <w:color w:val="auto"/>
        </w:rPr>
      </w:pPr>
      <w:r>
        <w:rPr>
          <w:rFonts w:ascii="Times New Roman" w:cs="Times New Roman" w:eastAsia="Times New Roman" w:hAnsi="Times New Roman"/>
          <w:sz w:val="18"/>
          <w:szCs w:val="18"/>
          <w:color w:val="auto"/>
        </w:rPr>
        <w:t>                                    of                                     as my/our proxy to attend, act and vote for me/us and on my/our behalf at the annual general meeting of the shareholders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 on June 26, 2026 at 10:00 a.m. Hong Kong time, at T2, XPENG Tech Park, No. 10, Cencun Fengzhuang Avenue, Tianhe District, Guangzhou, PRC and at any adjournment of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42659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65930"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of the Company (the “Board of Directors”) recommends a vote FOR resolutions 1 to 10.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My/Our proxy is instructed to vote on the resolutions specified below:</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9100" w:type="dxa"/>
            <w:vAlign w:val="bottom"/>
            <w:tcBorders>
              <w:top w:val="single" w:sz="8" w:color="auto"/>
              <w:left w:val="single" w:sz="8" w:color="auto"/>
            </w:tcBorders>
          </w:tcPr>
          <w:p>
            <w:pPr>
              <w:spacing w:after="0"/>
              <w:rPr>
                <w:sz w:val="14"/>
                <w:szCs w:val="14"/>
                <w:color w:val="auto"/>
              </w:rPr>
            </w:pPr>
          </w:p>
        </w:tc>
        <w:tc>
          <w:tcPr>
            <w:tcW w:w="5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Against</w:t>
            </w:r>
          </w:p>
        </w:tc>
        <w:tc>
          <w:tcPr>
            <w:tcW w:w="5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Abstain</w:t>
            </w:r>
          </w:p>
        </w:tc>
        <w:tc>
          <w:tcPr>
            <w:tcW w:w="0" w:type="dxa"/>
            <w:vAlign w:val="bottom"/>
          </w:tcPr>
          <w:p>
            <w:pPr>
              <w:spacing w:after="0"/>
              <w:rPr>
                <w:sz w:val="1"/>
                <w:szCs w:val="1"/>
                <w:color w:val="auto"/>
              </w:rPr>
            </w:pPr>
          </w:p>
        </w:tc>
      </w:tr>
      <w:tr>
        <w:trPr>
          <w:trHeight w:val="183"/>
        </w:trPr>
        <w:tc>
          <w:tcPr>
            <w:tcW w:w="9100" w:type="dxa"/>
            <w:vAlign w:val="bottom"/>
            <w:tcBorders>
              <w:top w:val="single" w:sz="8" w:color="CCEEFF"/>
              <w:left w:val="single" w:sz="8" w:color="auto"/>
            </w:tcBorders>
            <w:shd w:val="clear" w:color="auto" w:fill="CCEEFF"/>
          </w:tcPr>
          <w:p>
            <w:pPr>
              <w:ind w:left="160"/>
              <w:spacing w:after="0" w:line="183" w:lineRule="exact"/>
              <w:rPr>
                <w:sz w:val="20"/>
                <w:szCs w:val="20"/>
                <w:color w:val="auto"/>
              </w:rPr>
            </w:pPr>
            <w:r>
              <w:rPr>
                <w:rFonts w:ascii="Times New Roman" w:cs="Times New Roman" w:eastAsia="Times New Roman" w:hAnsi="Times New Roman"/>
                <w:sz w:val="16"/>
                <w:szCs w:val="16"/>
                <w:b w:val="1"/>
                <w:bCs w:val="1"/>
                <w:color w:val="auto"/>
              </w:rPr>
              <w:t>Resolution 1 — Ordinary Resolution</w:t>
            </w:r>
          </w:p>
        </w:tc>
        <w:tc>
          <w:tcPr>
            <w:tcW w:w="2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 receive and adopt the audited consolidated financial statements of the Company and the reports of the directors (the</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8"/>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Director(s)</w:t>
            </w:r>
            <w:r>
              <w:rPr>
                <w:rFonts w:ascii="Times New Roman" w:cs="Times New Roman" w:eastAsia="Times New Roman" w:hAnsi="Times New Roman"/>
                <w:sz w:val="16"/>
                <w:szCs w:val="16"/>
                <w:color w:val="auto"/>
              </w:rPr>
              <w:t>”) and the auditor of the Company as of and for the year ended December 31, 2025.</w:t>
            </w: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2 — Ordinary Resolution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 re-elect Mr. Donghao Yang as an independent non-executive Director as detailed in the proxy statement/ circular dated May 11,</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3 — Ordinary Resolution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 re-elect Mr. HongJiang Zhang as an independent non-executive Director as detailed in the proxy statement/circular dated May 11,</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4 — Ordinary Resolution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 re-elect Mr. Yudong Chen as an independent non-executive Director as detailed in the proxy statement/ circular dated May 11,</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5 — Ordinary Resolution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 authorize the Board of Directors to fix the respective Directors’ remuneration.</w:t>
            </w:r>
          </w:p>
        </w:tc>
        <w:tc>
          <w:tcPr>
            <w:tcW w:w="580" w:type="dxa"/>
            <w:vAlign w:val="bottom"/>
            <w:gridSpan w:val="2"/>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02"/>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6 — Ordinary Resolution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 re-appoint PricewaterhouseCoopers and PricewaterhouseCoopers Zhong Tian LLP as auditors of the Company to hold office until</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the conclusion of the next annual general meeting of the Company and to authorize the Board of Directors to fix their remunerations</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for the year ending December 31, 2026 as detailed in the proxy statement/circular dated May 11, 2026.</w:t>
            </w: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7 — Ordinary Resolution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consider and approve the grant of a general mandate to the Directors to issue, allot, and deal with additional Class A ordinary</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shares of the Company not exceeding 20% of the total number of issued shares (excluding treasury shares) of the Company as of the</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date of passing of this resolution as detailed in the proxy statement/circular dated May 11, 2026.</w:t>
            </w: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8 — Ordinary Resolution</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consider and approve the grant of a general mandate to the Directors to repurchase shares and/or ADSs of the Company not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exceeding 10% of the total number of issued shares (excluding treasury shares) of the Company as of the date of passing of this</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resolution as detailed in the proxy statement/circular dated May 11, 2026.</w:t>
            </w: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9 — Ordinary Resolution</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consider and approve the extension of the general mandate granted to the Directors to issue, allot and deal with additional</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shares in the share capital of the Company by the aggregate number of the shares and/ or shares underlying the ADSs repurchased by</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the Company as detailed in the proxy statement/circular dated May 11, 2026.</w:t>
            </w:r>
          </w:p>
        </w:tc>
        <w:tc>
          <w:tcPr>
            <w:tcW w:w="5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Resolution 10 — Special Resolution</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consider and approve the proposed amendments to the memorandum and articles of association of the Company and the</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adoption of the tenth amended and restated memorandum and articles of association of the Company as detailed in the proxy</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statement/circular dated May 11, 2026 to replace the ninth amended and restated memorandum and articles of association of the</w:t>
            </w:r>
          </w:p>
        </w:tc>
        <w:tc>
          <w:tcPr>
            <w:tcW w:w="580" w:type="dxa"/>
            <w:vAlign w:val="bottom"/>
            <w:gridSpan w:val="2"/>
            <w:vMerge w:val="restart"/>
          </w:tcPr>
          <w:p>
            <w:pPr>
              <w:jc w:val="center"/>
              <w:ind w:right="320"/>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tcBorders>
              <w:right w:val="single" w:sz="8" w:color="auto"/>
            </w:tcBorders>
            <w:gridSpan w:val="2"/>
            <w:vMerge w:val="restart"/>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6"/>
        </w:trPr>
        <w:tc>
          <w:tcPr>
            <w:tcW w:w="91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Company adopted by special resolution passed on June 20, 2023 in its entirety.</w:t>
            </w:r>
          </w:p>
        </w:tc>
        <w:tc>
          <w:tcPr>
            <w:tcW w:w="580" w:type="dxa"/>
            <w:vAlign w:val="bottom"/>
            <w:tcBorders>
              <w:bottom w:val="single" w:sz="8" w:color="auto"/>
            </w:tcBorders>
            <w:gridSpan w:val="2"/>
            <w:vMerge w:val="continue"/>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560" w:type="dxa"/>
            <w:vAlign w:val="bottom"/>
            <w:tcBorders>
              <w:bottom w:val="single" w:sz="8" w:color="auto"/>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42" w:name="page43"/>
    <w:bookmarkEnd w:id="42"/>
    <w:p>
      <w:pPr>
        <w:ind w:left="4" w:right="20"/>
        <w:spacing w:after="0" w:line="228"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tick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appropriate boxes to indicate your voting preference. You may also specify the number of shares to vote “For” or “Against” and/ or “Abstain” in respect of each resolution in the voting boxes above. If you mark the box “Abstain”, it will mean that your proxy will abstain from voting and, accordingly, your vote will not be counted either for or against the relevant resolution. </w:t>
      </w:r>
      <w:r>
        <w:rPr>
          <w:rFonts w:ascii="Times New Roman" w:cs="Times New Roman" w:eastAsia="Times New Roman" w:hAnsi="Times New Roman"/>
          <w:sz w:val="18"/>
          <w:szCs w:val="18"/>
          <w:b w:val="1"/>
          <w:bCs w:val="1"/>
          <w:color w:val="auto"/>
        </w:rPr>
        <w:t>If no instruction is given, your proxy will: (i) vote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manner recommended by the Board of Directors on the above matters presented in the proxy statement/circular dated May 11, 2026 (the “Proxy Statement”); and (ii) vote or abstain at his/her discretion with respect to any other matters properly presented at the AGM.</w:t>
      </w:r>
    </w:p>
    <w:p>
      <w:pPr>
        <w:spacing w:after="0" w:line="225" w:lineRule="exact"/>
        <w:rPr>
          <w:sz w:val="20"/>
          <w:szCs w:val="20"/>
          <w:color w:val="auto"/>
        </w:rPr>
      </w:pPr>
    </w:p>
    <w:p>
      <w:pPr>
        <w:ind w:left="4"/>
        <w:spacing w:after="0"/>
        <w:tabs>
          <w:tab w:leader="none" w:pos="7944" w:val="left"/>
        </w:tabs>
        <w:rPr>
          <w:sz w:val="20"/>
          <w:szCs w:val="20"/>
          <w:color w:val="auto"/>
        </w:rPr>
      </w:pPr>
      <w:r>
        <w:rPr>
          <w:rFonts w:ascii="Times New Roman" w:cs="Times New Roman" w:eastAsia="Times New Roman" w:hAnsi="Times New Roman"/>
          <w:sz w:val="18"/>
          <w:szCs w:val="18"/>
          <w:color w:val="auto"/>
        </w:rPr>
        <w:t xml:space="preserve">Signed:                                                           </w:t>
      </w:r>
      <w:r>
        <w:rPr>
          <w:sz w:val="20"/>
          <w:szCs w:val="20"/>
          <w:color w:val="auto"/>
        </w:rPr>
        <w:tab/>
      </w:r>
      <w:r>
        <w:rPr>
          <w:rFonts w:ascii="Times New Roman" w:cs="Times New Roman" w:eastAsia="Times New Roman" w:hAnsi="Times New Roman"/>
          <w:sz w:val="18"/>
          <w:szCs w:val="18"/>
          <w:color w:val="auto"/>
        </w:rPr>
        <w:t>Date: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-7620</wp:posOffset>
            </wp:positionV>
            <wp:extent cx="2285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5365" cy="8255"/>
                    </a:xfrm>
                    <a:prstGeom prst="rect">
                      <a:avLst/>
                    </a:prstGeom>
                    <a:noFill/>
                  </pic:spPr>
                </pic:pic>
              </a:graphicData>
            </a:graphic>
          </wp:anchor>
        </w:drawing>
        <w:drawing>
          <wp:anchor simplePos="0" relativeHeight="251657728" behindDoc="1" locked="0" layoutInCell="0" allowOverlap="1">
            <wp:simplePos x="0" y="0"/>
            <wp:positionH relativeFrom="column">
              <wp:posOffset>5338445</wp:posOffset>
            </wp:positionH>
            <wp:positionV relativeFrom="paragraph">
              <wp:posOffset>-7620</wp:posOffset>
            </wp:positionV>
            <wp:extent cx="1370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-7620</wp:posOffset>
            </wp:positionV>
            <wp:extent cx="2285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109" w:lineRule="exact"/>
        <w:rPr>
          <w:sz w:val="20"/>
          <w:szCs w:val="20"/>
          <w:color w:val="auto"/>
        </w:rPr>
      </w:pPr>
    </w:p>
    <w:p>
      <w:pPr>
        <w:ind w:left="224" w:hanging="224"/>
        <w:spacing w:after="0"/>
        <w:tabs>
          <w:tab w:leader="none" w:pos="2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35" w:lineRule="exact"/>
        <w:rPr>
          <w:sz w:val="20"/>
          <w:szCs w:val="20"/>
          <w:color w:val="auto"/>
        </w:rPr>
      </w:pPr>
    </w:p>
    <w:p>
      <w:pPr>
        <w:ind w:left="424" w:right="220" w:hanging="424"/>
        <w:spacing w:after="0" w:line="266"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delete as appropriate and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Full name(s) and address(es) to be inserted in </w:t>
      </w:r>
      <w:r>
        <w:rPr>
          <w:rFonts w:ascii="Times New Roman" w:cs="Times New Roman" w:eastAsia="Times New Roman" w:hAnsi="Times New Roman"/>
          <w:sz w:val="18"/>
          <w:szCs w:val="18"/>
          <w:b w:val="1"/>
          <w:bCs w:val="1"/>
          <w:color w:val="auto"/>
        </w:rPr>
        <w:t>BLOCK CAPITALS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insert the number of ordinary shares in the issued share capital of the Company registered in your name(s) and delete as appropriate.</w:t>
      </w:r>
    </w:p>
    <w:p>
      <w:pPr>
        <w:spacing w:after="0" w:line="126" w:lineRule="exact"/>
        <w:rPr>
          <w:rFonts w:ascii="Times New Roman" w:cs="Times New Roman" w:eastAsia="Times New Roman" w:hAnsi="Times New Roman"/>
          <w:sz w:val="18"/>
          <w:szCs w:val="18"/>
          <w:color w:val="auto"/>
        </w:rPr>
      </w:pPr>
    </w:p>
    <w:p>
      <w:pPr>
        <w:ind w:left="424" w:right="40" w:hanging="424"/>
        <w:spacing w:after="0" w:line="262"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This form of proxy is solicited by the Board of Directors. </w:t>
      </w:r>
      <w:r>
        <w:rPr>
          <w:rFonts w:ascii="Times New Roman" w:cs="Times New Roman" w:eastAsia="Times New Roman" w:hAnsi="Times New Roman"/>
          <w:sz w:val="18"/>
          <w:szCs w:val="18"/>
          <w:color w:val="auto"/>
        </w:rPr>
        <w:t>A proxy need not be a shareholder of the Company. A shareholder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proxy of his/her own choice. If you wish to appoint someone else, please delete the words “the Chairman of the meeting” and insert the name(s) and address(es) of the person(s) whom you wish to appoint in the space provided. The Chairman of the meeting will act as your proxy and vote FOR the relevant resolutions, whether or not such deletion is made, if no other name is inserted.</w:t>
      </w:r>
    </w:p>
    <w:p>
      <w:pPr>
        <w:spacing w:after="0" w:line="81" w:lineRule="exact"/>
        <w:rPr>
          <w:rFonts w:ascii="Times New Roman" w:cs="Times New Roman" w:eastAsia="Times New Roman" w:hAnsi="Times New Roman"/>
          <w:sz w:val="18"/>
          <w:szCs w:val="18"/>
          <w:color w:val="auto"/>
        </w:rPr>
      </w:pPr>
    </w:p>
    <w:p>
      <w:pPr>
        <w:ind w:left="424" w:right="160" w:hanging="424"/>
        <w:spacing w:after="0" w:line="268" w:lineRule="auto"/>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this form of proxy is returned without an indication as to how the proxy shall vote, the proxy will (i) vote in the manner recommended by the Board of Directors on the above matters presented in the Proxy Statement; and (ii) vote or abstain at his/her discretion with respect to any other matters properly presented at the AGM.</w:t>
      </w:r>
    </w:p>
    <w:p>
      <w:pPr>
        <w:spacing w:after="0" w:line="80" w:lineRule="exact"/>
        <w:rPr>
          <w:rFonts w:ascii="Times New Roman" w:cs="Times New Roman" w:eastAsia="Times New Roman" w:hAnsi="Times New Roman"/>
          <w:sz w:val="18"/>
          <w:szCs w:val="18"/>
          <w:b w:val="1"/>
          <w:bCs w:val="1"/>
          <w:color w:val="auto"/>
        </w:rPr>
      </w:pPr>
    </w:p>
    <w:p>
      <w:pPr>
        <w:ind w:left="424" w:right="180" w:hanging="424"/>
        <w:spacing w:after="0" w:line="282"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of proxy is for use by shareholders of the Company only. If the appointor is a corporate entity, this form of proxy must either be under its common seal or under the hand of an officer or attorney duly authorized for that purpose.</w:t>
      </w:r>
    </w:p>
    <w:p>
      <w:pPr>
        <w:spacing w:after="0" w:line="67" w:lineRule="exact"/>
        <w:rPr>
          <w:rFonts w:ascii="Times New Roman" w:cs="Times New Roman" w:eastAsia="Times New Roman" w:hAnsi="Times New Roman"/>
          <w:sz w:val="18"/>
          <w:szCs w:val="18"/>
          <w:color w:val="auto"/>
        </w:rPr>
      </w:pPr>
    </w:p>
    <w:p>
      <w:pPr>
        <w:ind w:left="424" w:right="380" w:hanging="424"/>
        <w:spacing w:after="0" w:line="282" w:lineRule="auto"/>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valid, this form of proxy must be properly executed, dated and lodged (together with a duly signed and dated power of attorney or other authority (if any) under which it is executed (or a notarially certified copy or such power of attorney or other authority)) as follows:</w:t>
      </w:r>
    </w:p>
    <w:p>
      <w:pPr>
        <w:spacing w:after="0" w:line="67"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Class A ordinary shares and/or Class B ordinary shares directly on our Cayman Islands register of members on the record date (i.e. May 14, 2026, Hong Kong time) must return the form of proxy (i) by mail or by hand to the offices of our principal share registrar in the Cayman Islands (the “</w:t>
      </w:r>
      <w:r>
        <w:rPr>
          <w:rFonts w:ascii="Times New Roman" w:cs="Times New Roman" w:eastAsia="Times New Roman" w:hAnsi="Times New Roman"/>
          <w:sz w:val="18"/>
          <w:szCs w:val="18"/>
          <w:b w:val="1"/>
          <w:bCs w:val="1"/>
          <w:color w:val="auto"/>
        </w:rPr>
        <w:t>Caymanih2 Registrar</w:t>
      </w:r>
      <w:r>
        <w:rPr>
          <w:rFonts w:ascii="Times New Roman" w:cs="Times New Roman" w:eastAsia="Times New Roman" w:hAnsi="Times New Roman"/>
          <w:sz w:val="18"/>
          <w:szCs w:val="18"/>
          <w:color w:val="auto"/>
        </w:rPr>
        <w:t>”): 4th Floor, Harbour Place, 103 South Church Street, P.O. Box 10240, Grand Cayman KY1-1002, Cayman Islands, or (ii) by email at fid-HKServices@ascentium.com.</w:t>
      </w:r>
    </w:p>
    <w:p>
      <w:pPr>
        <w:spacing w:after="0" w:line="85"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Class A ordinary shares directly on our Hong Kong register of members on the record date (i.e. May 14, 2026, Hong Kong time) must return the form of proxy by mail or by hand to the offices of our branch share registrar in Hong Kong (the “</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Branch Share Registrar</w:t>
      </w:r>
      <w:r>
        <w:rPr>
          <w:rFonts w:ascii="Times New Roman" w:cs="Times New Roman" w:eastAsia="Times New Roman" w:hAnsi="Times New Roman"/>
          <w:sz w:val="18"/>
          <w:szCs w:val="18"/>
          <w:color w:val="auto"/>
        </w:rPr>
        <w:t>”): Tricor Investor Services Limited, 17/F, Far East Finance Centre,16 Harcourt Road, Hong Kong.</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so as to be received before 10:00 a.m. Hong Kong time on June 24, 2026.</w:t>
      </w:r>
    </w:p>
    <w:p>
      <w:pPr>
        <w:spacing w:after="0" w:line="131"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alterations made to this form of proxy must be initialled by the person who signs it.</w:t>
      </w:r>
    </w:p>
    <w:p>
      <w:pPr>
        <w:spacing w:after="0" w:line="130"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revoke your proxy by (i) re-submitting this form of proxy by mail or email or by hand before 10:00 a.m. Hong Kong time on June 24, 2026 or (ii) attending the AGM and voting in person. Any written notice of revocation or subsequent form of proxy must be received by the Cayman Registrar or the Hong Kong Branch Share Registrar, as applicable, prior to 10:00 a.m. Hong Kong time on June 24, 2026. Such written notice of revocation or subsequent form of proxy should be sent to the Cayman Registrar or the Hong Kong Branch Share Registrar, as applicable, by mail or email or by hand.</w:t>
      </w:r>
    </w:p>
    <w:p>
      <w:pPr>
        <w:spacing w:after="0" w:line="88"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and return of this form of proxy will not prevent you from attending the AGM (or any adjustment thereof) and voting in person should you so wish.</w:t>
      </w:r>
    </w:p>
    <w:p>
      <w:pPr>
        <w:spacing w:after="0" w:line="67" w:lineRule="exact"/>
        <w:rPr>
          <w:rFonts w:ascii="Times New Roman" w:cs="Times New Roman" w:eastAsia="Times New Roman" w:hAnsi="Times New Roman"/>
          <w:sz w:val="18"/>
          <w:szCs w:val="18"/>
          <w:color w:val="auto"/>
        </w:rPr>
      </w:pPr>
    </w:p>
    <w:p>
      <w:pPr>
        <w:jc w:val="both"/>
        <w:ind w:left="424" w:right="100" w:hanging="424"/>
        <w:spacing w:after="0" w:line="266"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any share, signature of any one holder will be sufficient, but the names of all the joint holders should be stated. The vote of the senior holder (according to the order in which the names stand in the register of members in respect of the holding) who tenders a vote in person or by proxy will be accepted to the exclusion of the vote(s) of the other joint holder(s).</w:t>
      </w:r>
    </w:p>
    <w:p>
      <w:pPr>
        <w:sectPr>
          <w:pgSz w:w="11900" w:h="16838" w:orient="portrait"/>
          <w:cols w:equalWidth="0" w:num="1">
            <w:col w:w="11024"/>
          </w:cols>
          <w:pgMar w:left="436" w:top="229"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INFORMATION COLLECTION STATEMENT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Your supply of your and your proxy’s (or proxies’) name(s) and address(es) is on a voluntary basis for the purpose of processing your request for the appointment of a proxy (or proxies) and your voting instructions for the AGM (the “</w:t>
      </w:r>
      <w:r>
        <w:rPr>
          <w:rFonts w:ascii="Times New Roman" w:cs="Times New Roman" w:eastAsia="Times New Roman" w:hAnsi="Times New Roman"/>
          <w:sz w:val="18"/>
          <w:szCs w:val="18"/>
          <w:b w:val="1"/>
          <w:bCs w:val="1"/>
          <w:color w:val="auto"/>
        </w:rPr>
        <w:t>Purposes</w:t>
      </w:r>
      <w:r>
        <w:rPr>
          <w:rFonts w:ascii="Times New Roman" w:cs="Times New Roman" w:eastAsia="Times New Roman" w:hAnsi="Times New Roman"/>
          <w:sz w:val="18"/>
          <w:szCs w:val="18"/>
          <w:color w:val="auto"/>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the Personal Data Privacy Officer of Tricor Investor Services Limited at the above address.</w:t>
      </w:r>
    </w:p>
    <w:p>
      <w:pPr>
        <w:sectPr>
          <w:pgSz w:w="11900" w:h="16838" w:orient="portrait"/>
          <w:cols w:equalWidth="0" w:num="1">
            <w:col w:w="10900"/>
          </w:cols>
          <w:pgMar w:left="440" w:top="266" w:right="559" w:bottom="1440" w:gutter="0" w:footer="0" w:header="0"/>
        </w:sectPr>
      </w:pPr>
    </w:p>
    <w:bookmarkStart w:id="44" w:name="page45"/>
    <w:bookmarkEnd w:id="44"/>
    <w:p>
      <w:pPr>
        <w:ind w:left="10080"/>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63" w:lineRule="exact"/>
        <w:rPr>
          <w:sz w:val="20"/>
          <w:szCs w:val="20"/>
          <w:color w:val="auto"/>
        </w:rPr>
      </w:pPr>
    </w:p>
    <w:p>
      <w:pPr>
        <w:jc w:val="center"/>
        <w:ind w:right="8620"/>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25"/>
          <w:szCs w:val="25"/>
          <w:b w:val="1"/>
          <w:bCs w:val="1"/>
          <w:color w:val="auto"/>
        </w:rPr>
        <w:t>Time Sensitive</w:t>
      </w:r>
      <w:r>
        <w:rPr>
          <w:rFonts w:ascii="Arial" w:cs="Arial" w:eastAsia="Arial" w:hAnsi="Arial"/>
          <w:sz w:val="25"/>
          <w:szCs w:val="2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1423035" cy="497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3035" cy="497205"/>
                    </a:xfrm>
                    <a:prstGeom prst="rect">
                      <a:avLst/>
                    </a:prstGeom>
                    <a:noFill/>
                  </pic:spPr>
                </pic:pic>
              </a:graphicData>
            </a:graphic>
          </wp:anchor>
        </w:drawing>
      </w:r>
    </w:p>
    <w:p>
      <w:pPr>
        <w:spacing w:after="0" w:line="16" w:lineRule="exact"/>
        <w:rPr>
          <w:sz w:val="20"/>
          <w:szCs w:val="20"/>
          <w:color w:val="auto"/>
        </w:rPr>
      </w:pPr>
    </w:p>
    <w:p>
      <w:pPr>
        <w:jc w:val="center"/>
        <w:ind w:right="8800"/>
        <w:spacing w:after="0"/>
        <w:rPr>
          <w:sz w:val="20"/>
          <w:szCs w:val="20"/>
          <w:color w:val="auto"/>
        </w:rPr>
      </w:pPr>
      <w:r>
        <w:rPr>
          <w:rFonts w:ascii="Arial" w:cs="Arial" w:eastAsia="Arial" w:hAnsi="Arial"/>
          <w:sz w:val="25"/>
          <w:szCs w:val="25"/>
          <w:b w:val="1"/>
          <w:bCs w:val="1"/>
          <w:color w:val="auto"/>
        </w:rPr>
        <w:t>Materials</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418"/>
        </w:trPr>
        <w:tc>
          <w:tcPr>
            <w:tcW w:w="2620" w:type="dxa"/>
            <w:vAlign w:val="bottom"/>
          </w:tcPr>
          <w:p>
            <w:pPr>
              <w:spacing w:after="0"/>
              <w:rPr>
                <w:sz w:val="24"/>
                <w:szCs w:val="24"/>
                <w:color w:val="auto"/>
              </w:rPr>
            </w:pPr>
          </w:p>
        </w:tc>
        <w:tc>
          <w:tcPr>
            <w:tcW w:w="8420" w:type="dxa"/>
            <w:vAlign w:val="bottom"/>
          </w:tcPr>
          <w:p>
            <w:pPr>
              <w:jc w:val="center"/>
              <w:ind w:right="2530"/>
              <w:spacing w:after="0"/>
              <w:rPr>
                <w:sz w:val="20"/>
                <w:szCs w:val="20"/>
                <w:color w:val="auto"/>
              </w:rPr>
            </w:pPr>
            <w:r>
              <w:rPr>
                <w:rFonts w:ascii="Arial" w:cs="Arial" w:eastAsia="Arial" w:hAnsi="Arial"/>
                <w:sz w:val="36"/>
                <w:szCs w:val="36"/>
                <w:b w:val="1"/>
                <w:bCs w:val="1"/>
                <w:color w:val="auto"/>
                <w:w w:val="99"/>
              </w:rPr>
              <w:t>Depositary’s Notice of</w:t>
            </w:r>
          </w:p>
        </w:tc>
      </w:tr>
      <w:tr>
        <w:trPr>
          <w:trHeight w:val="418"/>
        </w:trPr>
        <w:tc>
          <w:tcPr>
            <w:tcW w:w="2620" w:type="dxa"/>
            <w:vAlign w:val="bottom"/>
          </w:tcPr>
          <w:p>
            <w:pPr>
              <w:spacing w:after="0"/>
              <w:rPr>
                <w:sz w:val="24"/>
                <w:szCs w:val="24"/>
                <w:color w:val="auto"/>
              </w:rPr>
            </w:pPr>
          </w:p>
        </w:tc>
        <w:tc>
          <w:tcPr>
            <w:tcW w:w="8420" w:type="dxa"/>
            <w:vAlign w:val="bottom"/>
          </w:tcPr>
          <w:p>
            <w:pPr>
              <w:jc w:val="center"/>
              <w:ind w:right="2550"/>
              <w:spacing w:after="0"/>
              <w:rPr>
                <w:sz w:val="20"/>
                <w:szCs w:val="20"/>
                <w:color w:val="auto"/>
              </w:rPr>
            </w:pPr>
            <w:r>
              <w:rPr>
                <w:rFonts w:ascii="Arial" w:cs="Arial" w:eastAsia="Arial" w:hAnsi="Arial"/>
                <w:sz w:val="36"/>
                <w:szCs w:val="36"/>
                <w:b w:val="1"/>
                <w:bCs w:val="1"/>
                <w:color w:val="auto"/>
                <w:w w:val="99"/>
              </w:rPr>
              <w:t>Annual General Meeting of</w:t>
            </w:r>
          </w:p>
        </w:tc>
      </w:tr>
      <w:tr>
        <w:trPr>
          <w:trHeight w:val="496"/>
        </w:trPr>
        <w:tc>
          <w:tcPr>
            <w:tcW w:w="2620" w:type="dxa"/>
            <w:vAlign w:val="bottom"/>
          </w:tcPr>
          <w:p>
            <w:pPr>
              <w:spacing w:after="0"/>
              <w:rPr>
                <w:sz w:val="24"/>
                <w:szCs w:val="24"/>
                <w:color w:val="auto"/>
              </w:rPr>
            </w:pPr>
          </w:p>
        </w:tc>
        <w:tc>
          <w:tcPr>
            <w:tcW w:w="8420" w:type="dxa"/>
            <w:vAlign w:val="bottom"/>
          </w:tcPr>
          <w:p>
            <w:pPr>
              <w:jc w:val="center"/>
              <w:ind w:right="2550"/>
              <w:spacing w:after="0"/>
              <w:rPr>
                <w:sz w:val="20"/>
                <w:szCs w:val="20"/>
                <w:color w:val="auto"/>
              </w:rPr>
            </w:pPr>
            <w:r>
              <w:rPr>
                <w:rFonts w:ascii="Arial" w:cs="Arial" w:eastAsia="Arial" w:hAnsi="Arial"/>
                <w:sz w:val="36"/>
                <w:szCs w:val="36"/>
                <w:b w:val="1"/>
                <w:bCs w:val="1"/>
                <w:color w:val="auto"/>
                <w:w w:val="99"/>
              </w:rPr>
              <w:t>XPeng Inc.</w:t>
            </w:r>
          </w:p>
        </w:tc>
      </w:tr>
      <w:tr>
        <w:trPr>
          <w:trHeight w:val="203"/>
        </w:trPr>
        <w:tc>
          <w:tcPr>
            <w:tcW w:w="2620" w:type="dxa"/>
            <w:vAlign w:val="bottom"/>
            <w:tcBorders>
              <w:bottom w:val="single" w:sz="8" w:color="auto"/>
            </w:tcBorders>
          </w:tcPr>
          <w:p>
            <w:pPr>
              <w:spacing w:after="0"/>
              <w:rPr>
                <w:sz w:val="17"/>
                <w:szCs w:val="17"/>
                <w:color w:val="auto"/>
              </w:rPr>
            </w:pPr>
          </w:p>
        </w:tc>
        <w:tc>
          <w:tcPr>
            <w:tcW w:w="8420" w:type="dxa"/>
            <w:vAlign w:val="bottom"/>
            <w:tcBorders>
              <w:bottom w:val="single" w:sz="8" w:color="auto"/>
            </w:tcBorders>
          </w:tcPr>
          <w:p>
            <w:pPr>
              <w:spacing w:after="0"/>
              <w:rPr>
                <w:sz w:val="17"/>
                <w:szCs w:val="17"/>
                <w:color w:val="auto"/>
              </w:rPr>
            </w:pPr>
          </w:p>
        </w:tc>
      </w:tr>
      <w:tr>
        <w:trPr>
          <w:trHeight w:val="295"/>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ADSs:</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American Depositary Shares evidenced by American</w:t>
            </w:r>
          </w:p>
        </w:tc>
      </w:tr>
      <w:tr>
        <w:trPr>
          <w:trHeight w:val="258"/>
        </w:trPr>
        <w:tc>
          <w:tcPr>
            <w:tcW w:w="2620" w:type="dxa"/>
            <w:vAlign w:val="bottom"/>
            <w:tcBorders>
              <w:left w:val="single" w:sz="8" w:color="auto"/>
            </w:tcBorders>
          </w:tcPr>
          <w:p>
            <w:pPr>
              <w:spacing w:after="0"/>
              <w:rPr>
                <w:sz w:val="22"/>
                <w:szCs w:val="22"/>
                <w:color w:val="auto"/>
              </w:rPr>
            </w:pP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Depositary Receipts (“ADRs”).</w:t>
            </w:r>
          </w:p>
        </w:tc>
      </w:tr>
      <w:tr>
        <w:trPr>
          <w:trHeight w:val="34"/>
        </w:trPr>
        <w:tc>
          <w:tcPr>
            <w:tcW w:w="2620" w:type="dxa"/>
            <w:vAlign w:val="bottom"/>
            <w:tcBorders>
              <w:left w:val="single" w:sz="8" w:color="auto"/>
              <w:bottom w:val="single" w:sz="8" w:color="auto"/>
            </w:tcBorders>
          </w:tcPr>
          <w:p>
            <w:pPr>
              <w:spacing w:after="0"/>
              <w:rPr>
                <w:sz w:val="3"/>
                <w:szCs w:val="3"/>
                <w:color w:val="auto"/>
              </w:rPr>
            </w:pPr>
          </w:p>
        </w:tc>
        <w:tc>
          <w:tcPr>
            <w:tcW w:w="8420" w:type="dxa"/>
            <w:vAlign w:val="bottom"/>
            <w:tcBorders>
              <w:bottom w:val="single" w:sz="8" w:color="auto"/>
              <w:right w:val="single" w:sz="8" w:color="auto"/>
            </w:tcBorders>
          </w:tcPr>
          <w:p>
            <w:pPr>
              <w:spacing w:after="0"/>
              <w:rPr>
                <w:sz w:val="3"/>
                <w:szCs w:val="3"/>
                <w:color w:val="auto"/>
              </w:rPr>
            </w:pPr>
          </w:p>
        </w:tc>
      </w:tr>
      <w:tr>
        <w:trPr>
          <w:trHeight w:val="324"/>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ADS CUSIP No.:</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98422D105. *</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r>
        <w:trPr>
          <w:trHeight w:val="324"/>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ADS Record Date:</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May 14, 2026, New York City time.</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r>
        <w:trPr>
          <w:trHeight w:val="295"/>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Meeting Specifics:</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Annual General Meeting to be held on June 26, 2026 at 10:00 a.m. (Hong Kong time) at the</w:t>
            </w:r>
          </w:p>
        </w:tc>
      </w:tr>
      <w:tr>
        <w:trPr>
          <w:trHeight w:val="230"/>
        </w:trPr>
        <w:tc>
          <w:tcPr>
            <w:tcW w:w="262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w w:val="99"/>
              </w:rPr>
              <w:t>Company’s headquarters located at T2, XPENG Tech Park, No. 10, Cencun Fengzhuang Avenue,</w:t>
            </w:r>
          </w:p>
        </w:tc>
      </w:tr>
      <w:tr>
        <w:trPr>
          <w:trHeight w:val="258"/>
        </w:trPr>
        <w:tc>
          <w:tcPr>
            <w:tcW w:w="2620" w:type="dxa"/>
            <w:vAlign w:val="bottom"/>
            <w:tcBorders>
              <w:left w:val="single" w:sz="8" w:color="auto"/>
            </w:tcBorders>
          </w:tcPr>
          <w:p>
            <w:pPr>
              <w:spacing w:after="0"/>
              <w:rPr>
                <w:sz w:val="22"/>
                <w:szCs w:val="22"/>
                <w:color w:val="auto"/>
              </w:rPr>
            </w:pP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Tianhe District, Guangzhou, PRC (the “Meeting”).</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r>
        <w:trPr>
          <w:trHeight w:val="295"/>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Meeting Agenda:</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Please refer to the Company’s Notice of Meeting enclosed here with (For more information</w:t>
            </w:r>
          </w:p>
        </w:tc>
      </w:tr>
      <w:tr>
        <w:trPr>
          <w:trHeight w:val="230"/>
        </w:trPr>
        <w:tc>
          <w:tcPr>
            <w:tcW w:w="262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regarding the Meeting and to view the materials related to the Meeting, please visit the</w:t>
            </w:r>
          </w:p>
        </w:tc>
      </w:tr>
      <w:tr>
        <w:trPr>
          <w:trHeight w:val="258"/>
        </w:trPr>
        <w:tc>
          <w:tcPr>
            <w:tcW w:w="2620" w:type="dxa"/>
            <w:vAlign w:val="bottom"/>
            <w:tcBorders>
              <w:left w:val="single" w:sz="8" w:color="auto"/>
            </w:tcBorders>
          </w:tcPr>
          <w:p>
            <w:pPr>
              <w:spacing w:after="0"/>
              <w:rPr>
                <w:sz w:val="22"/>
                <w:szCs w:val="22"/>
                <w:color w:val="auto"/>
              </w:rPr>
            </w:pP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Company’s website at https://ir.xiaopeng.com.)</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r>
        <w:trPr>
          <w:trHeight w:val="291"/>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ADS Voting</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On or before 10:00 a.m. (New York City time) on June 17, 2026.</w:t>
            </w:r>
          </w:p>
        </w:tc>
      </w:tr>
      <w:tr>
        <w:trPr>
          <w:trHeight w:val="262"/>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Instructions Deadline:</w:t>
            </w:r>
          </w:p>
        </w:tc>
        <w:tc>
          <w:tcPr>
            <w:tcW w:w="8420" w:type="dxa"/>
            <w:vAlign w:val="bottom"/>
            <w:tcBorders>
              <w:right w:val="single" w:sz="8" w:color="auto"/>
            </w:tcBorders>
          </w:tcPr>
          <w:p>
            <w:pPr>
              <w:spacing w:after="0"/>
              <w:rPr>
                <w:sz w:val="22"/>
                <w:szCs w:val="22"/>
                <w:color w:val="auto"/>
              </w:rPr>
            </w:pPr>
          </w:p>
        </w:tc>
      </w:tr>
      <w:tr>
        <w:trPr>
          <w:trHeight w:val="34"/>
        </w:trPr>
        <w:tc>
          <w:tcPr>
            <w:tcW w:w="2620" w:type="dxa"/>
            <w:vAlign w:val="bottom"/>
            <w:tcBorders>
              <w:left w:val="single" w:sz="8" w:color="auto"/>
              <w:bottom w:val="single" w:sz="8" w:color="auto"/>
            </w:tcBorders>
          </w:tcPr>
          <w:p>
            <w:pPr>
              <w:spacing w:after="0"/>
              <w:rPr>
                <w:sz w:val="3"/>
                <w:szCs w:val="3"/>
                <w:color w:val="auto"/>
              </w:rPr>
            </w:pPr>
          </w:p>
        </w:tc>
        <w:tc>
          <w:tcPr>
            <w:tcW w:w="8420" w:type="dxa"/>
            <w:vAlign w:val="bottom"/>
            <w:tcBorders>
              <w:bottom w:val="single" w:sz="8" w:color="auto"/>
              <w:right w:val="single" w:sz="8" w:color="auto"/>
            </w:tcBorders>
          </w:tcPr>
          <w:p>
            <w:pPr>
              <w:spacing w:after="0"/>
              <w:rPr>
                <w:sz w:val="3"/>
                <w:szCs w:val="3"/>
                <w:color w:val="auto"/>
              </w:rPr>
            </w:pPr>
          </w:p>
        </w:tc>
      </w:tr>
      <w:tr>
        <w:trPr>
          <w:trHeight w:val="295"/>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Deposited Securities:</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Class A Ordinary Shares, par value US$0.00001 per share, of XPeng Inc., a company organized</w:t>
            </w:r>
          </w:p>
        </w:tc>
      </w:tr>
      <w:tr>
        <w:trPr>
          <w:trHeight w:val="258"/>
        </w:trPr>
        <w:tc>
          <w:tcPr>
            <w:tcW w:w="2620" w:type="dxa"/>
            <w:vAlign w:val="bottom"/>
            <w:tcBorders>
              <w:left w:val="single" w:sz="8" w:color="auto"/>
            </w:tcBorders>
          </w:tcPr>
          <w:p>
            <w:pPr>
              <w:spacing w:after="0"/>
              <w:rPr>
                <w:sz w:val="22"/>
                <w:szCs w:val="22"/>
                <w:color w:val="auto"/>
              </w:rPr>
            </w:pP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under the laws of the Cayman Islands (the “Company”).</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r>
        <w:trPr>
          <w:trHeight w:val="324"/>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ADS Ratio:</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2 Class A Ordinary Shares to 1 ADS.</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r>
        <w:trPr>
          <w:trHeight w:val="323"/>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Depositary:</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Citibank, N.A.</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r>
        <w:trPr>
          <w:trHeight w:val="291"/>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Custodian(s) of</w:t>
            </w:r>
          </w:p>
        </w:tc>
        <w:tc>
          <w:tcPr>
            <w:tcW w:w="8420" w:type="dxa"/>
            <w:vAlign w:val="bottom"/>
            <w:tcBorders>
              <w:right w:val="single" w:sz="8" w:color="auto"/>
            </w:tcBorders>
          </w:tcPr>
          <w:p>
            <w:pPr>
              <w:spacing w:after="0"/>
              <w:rPr>
                <w:sz w:val="24"/>
                <w:szCs w:val="24"/>
                <w:color w:val="auto"/>
              </w:rPr>
            </w:pPr>
          </w:p>
        </w:tc>
      </w:tr>
      <w:tr>
        <w:trPr>
          <w:trHeight w:val="276"/>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Deposited Securities:</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Citibank, N.A. – Hong Kong.</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r>
        <w:trPr>
          <w:trHeight w:val="295"/>
        </w:trPr>
        <w:tc>
          <w:tcPr>
            <w:tcW w:w="2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Deposit Agreement:</w:t>
            </w: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w w:val="99"/>
              </w:rPr>
              <w:t>Deposit Agreement, dated as of August 31, 2020, by and among the Company, the Depositary and</w:t>
            </w:r>
          </w:p>
        </w:tc>
      </w:tr>
      <w:tr>
        <w:trPr>
          <w:trHeight w:val="230"/>
        </w:trPr>
        <w:tc>
          <w:tcPr>
            <w:tcW w:w="262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all Holders and Beneficial Owners from time to time of ADRs, evidencing ADSs, issued</w:t>
            </w:r>
          </w:p>
        </w:tc>
      </w:tr>
      <w:tr>
        <w:trPr>
          <w:trHeight w:val="258"/>
        </w:trPr>
        <w:tc>
          <w:tcPr>
            <w:tcW w:w="2620" w:type="dxa"/>
            <w:vAlign w:val="bottom"/>
            <w:tcBorders>
              <w:left w:val="single" w:sz="8" w:color="auto"/>
            </w:tcBorders>
          </w:tcPr>
          <w:p>
            <w:pPr>
              <w:spacing w:after="0"/>
              <w:rPr>
                <w:sz w:val="22"/>
                <w:szCs w:val="22"/>
                <w:color w:val="auto"/>
              </w:rPr>
            </w:pPr>
          </w:p>
        </w:tc>
        <w:tc>
          <w:tcPr>
            <w:tcW w:w="84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thereunder.</w:t>
            </w:r>
          </w:p>
        </w:tc>
      </w:tr>
      <w:tr>
        <w:trPr>
          <w:trHeight w:val="21"/>
        </w:trPr>
        <w:tc>
          <w:tcPr>
            <w:tcW w:w="2620" w:type="dxa"/>
            <w:vAlign w:val="bottom"/>
            <w:tcBorders>
              <w:left w:val="single" w:sz="8" w:color="auto"/>
              <w:bottom w:val="single" w:sz="8" w:color="auto"/>
            </w:tcBorders>
          </w:tcPr>
          <w:p>
            <w:pPr>
              <w:spacing w:after="0" w:line="20" w:lineRule="exact"/>
              <w:rPr>
                <w:sz w:val="1"/>
                <w:szCs w:val="1"/>
                <w:color w:val="auto"/>
              </w:rPr>
            </w:pPr>
          </w:p>
        </w:tc>
        <w:tc>
          <w:tcPr>
            <w:tcW w:w="8420" w:type="dxa"/>
            <w:vAlign w:val="bottom"/>
            <w:tcBorders>
              <w:bottom w:val="single" w:sz="8" w:color="auto"/>
              <w:right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ADS CUSIP No. is provided as a convenience only and without any liability for accuracy.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counted, your Voting Instructions need to be received by the Depositary prior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10:00 a.m. </w:t>
      </w:r>
      <w:r>
        <w:rPr>
          <w:rFonts w:ascii="Times New Roman" w:cs="Times New Roman" w:eastAsia="Times New Roman" w:hAnsi="Times New Roman"/>
          <w:sz w:val="22"/>
          <w:szCs w:val="22"/>
          <w:color w:val="auto"/>
        </w:rPr>
        <w:t>(New York City time) on</w:t>
      </w:r>
      <w:r>
        <w:rPr>
          <w:rFonts w:ascii="Times New Roman" w:cs="Times New Roman" w:eastAsia="Times New Roman" w:hAnsi="Times New Roman"/>
          <w:sz w:val="22"/>
          <w:szCs w:val="22"/>
          <w:b w:val="1"/>
          <w:bCs w:val="1"/>
          <w:color w:val="auto"/>
        </w:rPr>
        <w:t xml:space="preserve"> June 17, 2026.</w:t>
      </w:r>
    </w:p>
    <w:p>
      <w:pPr>
        <w:spacing w:after="0" w:line="178"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Note that if you do not timely return the Voting Instructions to the Depositary, the Deposited Securities represented by your ADSs may nevertheless be voted upon the terms set forth in the Deposit Agreement.</w:t>
      </w:r>
    </w:p>
    <w:p>
      <w:pPr>
        <w:sectPr>
          <w:pgSz w:w="11900" w:h="16838" w:orient="portrait"/>
          <w:cols w:equalWidth="0" w:num="1">
            <w:col w:w="11020"/>
          </w:cols>
          <w:pgMar w:left="440" w:top="117" w:right="439" w:bottom="1440" w:gutter="0" w:footer="0" w:header="0"/>
        </w:sectPr>
      </w:pPr>
    </w:p>
    <w:bookmarkStart w:id="45" w:name="page46"/>
    <w:bookmarkEnd w:id="45"/>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has announced that the Meeting will be held at the date, time and location identified above. </w:t>
      </w:r>
      <w:r>
        <w:rPr>
          <w:rFonts w:ascii="Times New Roman" w:cs="Times New Roman" w:eastAsia="Times New Roman" w:hAnsi="Times New Roman"/>
          <w:sz w:val="18"/>
          <w:szCs w:val="18"/>
          <w:b w:val="1"/>
          <w:bCs w:val="1"/>
          <w:color w:val="auto"/>
        </w:rPr>
        <w:t>A copy of the Notice of Meeting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Company which includes the agenda for such Meeting is enclosed.*</w:t>
      </w:r>
    </w:p>
    <w:p>
      <w:pPr>
        <w:spacing w:after="0" w:line="15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Holders of ADSs wishing to give voting instructions to the Depositary must sign, complete and return the enclosed Voting Instructions to be received by the Depositary prior to the ADS Voting Instructions Deadline in the enclosed pre-addressed envelope.</w:t>
      </w:r>
    </w:p>
    <w:p>
      <w:pPr>
        <w:spacing w:after="0" w:line="162"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currently in effect, voting at any meeting of shareholders of the Company is by poll except where the chairman of such meeting, in good faith, decides to allow a resolution which relates purely to a procedural or administrative matter to be voted on by a show of hands. Under the Articles of Association of the Company as currently in effect, a poll may be demanded by any one or more shareholders who together hold shares carrying not less than 10% of all votes attaching to all of the total issued voting shares of the Company present in person or by proxy. The Depositary will not join in demanding a poll, whether or not requested to do so by Holders of ADSs.</w:t>
      </w:r>
    </w:p>
    <w:p>
      <w:pPr>
        <w:spacing w:after="0" w:line="18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received timely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7"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to have instructed the Depositary to vote in favor of the items set forth in such voting instructions. Notwithstanding anything to the contrary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9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“Holder(s)” shall mean the person(s) in whose name the ADSs are registered on the books of the Depositary (or the registrar appointed by the Depositary, if any) maintained for such purpose. All capitalized terms not defined herein shall have the meanings ascribed thereto in the Deposit Agreement.</w:t>
      </w:r>
    </w:p>
    <w:p>
      <w:pPr>
        <w:spacing w:after="0" w:line="176"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The information contained herein with respect to the Meeting has been provided by the Company. Citibank, N.A. is forwarding this information to you solely as Depositary and in accordance with the terms of the Deposit Agreement and disclaims any responsibility with respect to the accuracy of such information. Citibank, N.A. does not, and should not be deemed to, express any opinion with respect to the proposals to be considered at the Meeting. The rights and obligations of Holders and Beneficial Owners of ADSs, the Company and the Depositary are set forth in their entirety in the Deposit Agreement and summarized in the American Depositary Receipts. If you wish to receive a copy of the Deposit Agreement, please contact the Depositary at the number set forth below.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have any questions, please contact Citibank, N.A. - ADR Shareholder Services at 1-877-CITI-ADR (1-877-248-4237).</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Citibank,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428625</wp:posOffset>
            </wp:positionV>
            <wp:extent cx="16802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As set forth in the Deposit Agreement, Holders of record of ADSs as of the close of business on the ADS Record Date will be entitled, subject to any applicable law, the provisions of the Deposit Agreement, the Articles of Association of the Company, and the provisions of or governing the Deposited Securities, to instruct the Depositary as to the exercise of the voting rights, if any, per-taining to the Deposited Securities represented by such Holders’ ADSs.</w:t>
      </w:r>
    </w:p>
    <w:p>
      <w:pPr>
        <w:sectPr>
          <w:pgSz w:w="11900" w:h="16838" w:orient="portrait"/>
          <w:cols w:equalWidth="0" w:num="1">
            <w:col w:w="11020"/>
          </w:cols>
          <w:pgMar w:left="440" w:top="266"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699516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2180" w:type="dxa"/>
            <w:vAlign w:val="bottom"/>
          </w:tcPr>
          <w:p>
            <w:pPr>
              <w:spacing w:after="0"/>
              <w:rPr>
                <w:sz w:val="24"/>
                <w:szCs w:val="24"/>
                <w:color w:val="auto"/>
              </w:rPr>
            </w:pPr>
          </w:p>
        </w:tc>
        <w:tc>
          <w:tcPr>
            <w:tcW w:w="8840" w:type="dxa"/>
            <w:vAlign w:val="bottom"/>
          </w:tcPr>
          <w:p>
            <w:pPr>
              <w:jc w:val="center"/>
              <w:ind w:right="2096"/>
              <w:spacing w:after="0"/>
              <w:rPr>
                <w:sz w:val="20"/>
                <w:szCs w:val="20"/>
                <w:color w:val="auto"/>
              </w:rPr>
            </w:pPr>
            <w:r>
              <w:rPr>
                <w:rFonts w:ascii="Times New Roman" w:cs="Times New Roman" w:eastAsia="Times New Roman" w:hAnsi="Times New Roman"/>
                <w:sz w:val="32"/>
                <w:szCs w:val="32"/>
                <w:b w:val="1"/>
                <w:bCs w:val="1"/>
                <w:color w:val="auto"/>
              </w:rPr>
              <w:t>Annual General Meeting of Shareholders</w:t>
            </w:r>
          </w:p>
        </w:tc>
      </w:tr>
      <w:tr>
        <w:trPr>
          <w:trHeight w:val="138"/>
        </w:trPr>
        <w:tc>
          <w:tcPr>
            <w:tcW w:w="2180" w:type="dxa"/>
            <w:vAlign w:val="bottom"/>
            <w:tcBorders>
              <w:bottom w:val="single" w:sz="8" w:color="auto"/>
            </w:tcBorders>
          </w:tcPr>
          <w:p>
            <w:pPr>
              <w:spacing w:after="0"/>
              <w:rPr>
                <w:sz w:val="12"/>
                <w:szCs w:val="12"/>
                <w:color w:val="auto"/>
              </w:rPr>
            </w:pPr>
          </w:p>
        </w:tc>
        <w:tc>
          <w:tcPr>
            <w:tcW w:w="8840" w:type="dxa"/>
            <w:vAlign w:val="bottom"/>
            <w:tcBorders>
              <w:bottom w:val="single" w:sz="8" w:color="auto"/>
            </w:tcBorders>
          </w:tcPr>
          <w:p>
            <w:pPr>
              <w:spacing w:after="0"/>
              <w:rPr>
                <w:sz w:val="12"/>
                <w:szCs w:val="12"/>
                <w:color w:val="auto"/>
              </w:rPr>
            </w:pPr>
          </w:p>
        </w:tc>
      </w:tr>
      <w:tr>
        <w:trPr>
          <w:trHeight w:val="146"/>
        </w:trPr>
        <w:tc>
          <w:tcPr>
            <w:tcW w:w="2180" w:type="dxa"/>
            <w:vAlign w:val="bottom"/>
          </w:tcPr>
          <w:p>
            <w:pPr>
              <w:spacing w:after="0"/>
              <w:rPr>
                <w:sz w:val="12"/>
                <w:szCs w:val="12"/>
                <w:color w:val="auto"/>
              </w:rPr>
            </w:pPr>
          </w:p>
        </w:tc>
        <w:tc>
          <w:tcPr>
            <w:tcW w:w="8840" w:type="dxa"/>
            <w:vAlign w:val="bottom"/>
          </w:tcPr>
          <w:p>
            <w:pPr>
              <w:jc w:val="center"/>
              <w:ind w:right="2096"/>
              <w:spacing w:after="0" w:line="146" w:lineRule="exact"/>
              <w:rPr>
                <w:sz w:val="20"/>
                <w:szCs w:val="20"/>
                <w:color w:val="auto"/>
              </w:rPr>
            </w:pPr>
            <w:r>
              <w:rPr>
                <w:rFonts w:ascii="Arial" w:cs="Arial" w:eastAsia="Arial" w:hAnsi="Arial"/>
                <w:sz w:val="13"/>
                <w:szCs w:val="13"/>
                <w:b w:val="1"/>
                <w:bCs w:val="1"/>
                <w:i w:val="1"/>
                <w:iCs w:val="1"/>
                <w:color w:val="auto"/>
                <w:w w:val="96"/>
              </w:rPr>
              <w:t>The Voting Instructions must be signed, completed and received at the indicated address prior to</w:t>
            </w:r>
          </w:p>
        </w:tc>
      </w:tr>
      <w:tr>
        <w:trPr>
          <w:trHeight w:val="170"/>
        </w:trPr>
        <w:tc>
          <w:tcPr>
            <w:tcW w:w="2180" w:type="dxa"/>
            <w:vAlign w:val="bottom"/>
          </w:tcPr>
          <w:p>
            <w:pPr>
              <w:spacing w:after="0"/>
              <w:rPr>
                <w:sz w:val="14"/>
                <w:szCs w:val="14"/>
                <w:color w:val="auto"/>
              </w:rPr>
            </w:pPr>
          </w:p>
        </w:tc>
        <w:tc>
          <w:tcPr>
            <w:tcW w:w="8840" w:type="dxa"/>
            <w:vAlign w:val="bottom"/>
          </w:tcPr>
          <w:p>
            <w:pPr>
              <w:jc w:val="center"/>
              <w:ind w:right="2116"/>
              <w:spacing w:after="0"/>
              <w:rPr>
                <w:sz w:val="20"/>
                <w:szCs w:val="20"/>
                <w:color w:val="auto"/>
              </w:rPr>
            </w:pPr>
            <w:r>
              <w:rPr>
                <w:rFonts w:ascii="Arial" w:cs="Arial" w:eastAsia="Arial" w:hAnsi="Arial"/>
                <w:sz w:val="13"/>
                <w:szCs w:val="13"/>
                <w:b w:val="1"/>
                <w:bCs w:val="1"/>
                <w:i w:val="1"/>
                <w:iCs w:val="1"/>
                <w:color w:val="auto"/>
                <w:w w:val="96"/>
              </w:rPr>
              <w:t>10:00 a.m. (New York City time) on June 17, 2026 for action to be taken.</w:t>
            </w:r>
          </w:p>
        </w:tc>
      </w:tr>
      <w:tr>
        <w:trPr>
          <w:trHeight w:val="378"/>
        </w:trPr>
        <w:tc>
          <w:tcPr>
            <w:tcW w:w="2180" w:type="dxa"/>
            <w:vAlign w:val="bottom"/>
          </w:tcPr>
          <w:p>
            <w:pPr>
              <w:spacing w:after="0"/>
              <w:rPr>
                <w:sz w:val="20"/>
                <w:szCs w:val="20"/>
                <w:color w:val="auto"/>
              </w:rPr>
            </w:pPr>
            <w:r>
              <w:rPr>
                <w:rFonts w:ascii="Arial" w:cs="Arial" w:eastAsia="Arial" w:hAnsi="Arial"/>
                <w:sz w:val="13"/>
                <w:szCs w:val="13"/>
                <w:b w:val="1"/>
                <w:bCs w:val="1"/>
                <w:color w:val="auto"/>
              </w:rPr>
              <w:t>2026 VOTING INSTRUCTIONS</w:t>
            </w:r>
          </w:p>
        </w:tc>
        <w:tc>
          <w:tcPr>
            <w:tcW w:w="8840" w:type="dxa"/>
            <w:vAlign w:val="bottom"/>
          </w:tcPr>
          <w:p>
            <w:pPr>
              <w:ind w:left="6760"/>
              <w:spacing w:after="0"/>
              <w:rPr>
                <w:sz w:val="20"/>
                <w:szCs w:val="20"/>
                <w:color w:val="auto"/>
              </w:rPr>
            </w:pPr>
            <w:r>
              <w:rPr>
                <w:rFonts w:ascii="Arial" w:cs="Arial" w:eastAsia="Arial" w:hAnsi="Arial"/>
                <w:sz w:val="13"/>
                <w:szCs w:val="13"/>
                <w:b w:val="1"/>
                <w:bCs w:val="1"/>
                <w:color w:val="auto"/>
                <w:w w:val="95"/>
              </w:rPr>
              <w:t>AMERICAN DEPOSITARY SHARES</w:t>
            </w:r>
          </w:p>
        </w:tc>
      </w:tr>
      <w:tr>
        <w:trPr>
          <w:trHeight w:val="324"/>
        </w:trPr>
        <w:tc>
          <w:tcPr>
            <w:tcW w:w="2180" w:type="dxa"/>
            <w:vAlign w:val="bottom"/>
          </w:tcPr>
          <w:p>
            <w:pPr>
              <w:spacing w:after="0"/>
              <w:rPr>
                <w:sz w:val="24"/>
                <w:szCs w:val="24"/>
                <w:color w:val="auto"/>
              </w:rPr>
            </w:pPr>
          </w:p>
        </w:tc>
        <w:tc>
          <w:tcPr>
            <w:tcW w:w="8840" w:type="dxa"/>
            <w:vAlign w:val="bottom"/>
          </w:tcPr>
          <w:p>
            <w:pPr>
              <w:jc w:val="center"/>
              <w:ind w:right="2116"/>
              <w:spacing w:after="0"/>
              <w:rPr>
                <w:sz w:val="20"/>
                <w:szCs w:val="20"/>
                <w:color w:val="auto"/>
              </w:rPr>
            </w:pPr>
            <w:r>
              <w:rPr>
                <w:rFonts w:ascii="Times New Roman" w:cs="Times New Roman" w:eastAsia="Times New Roman" w:hAnsi="Times New Roman"/>
                <w:sz w:val="20"/>
                <w:szCs w:val="20"/>
                <w:b w:val="1"/>
                <w:bCs w:val="1"/>
                <w:color w:val="auto"/>
                <w:w w:val="98"/>
              </w:rPr>
              <w:t>XPeng Inc. (the “Company”)</w:t>
            </w:r>
          </w:p>
        </w:tc>
      </w:tr>
      <w:tr>
        <w:trPr>
          <w:trHeight w:val="426"/>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ADS CUSIP No.:</w:t>
            </w: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98422D105. *</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ADS Record Date:</w:t>
            </w: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May 14, 2026, New York City time.</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Meeting Specifics:</w:t>
            </w: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Annual General Meeting to be held on June 26, 2026 at 10:00 a.m. (Hong Kong time) at the Company’s headquarters</w:t>
            </w:r>
          </w:p>
        </w:tc>
      </w:tr>
      <w:tr>
        <w:trPr>
          <w:trHeight w:val="203"/>
        </w:trPr>
        <w:tc>
          <w:tcPr>
            <w:tcW w:w="2180" w:type="dxa"/>
            <w:vAlign w:val="bottom"/>
          </w:tcPr>
          <w:p>
            <w:pPr>
              <w:spacing w:after="0"/>
              <w:rPr>
                <w:sz w:val="17"/>
                <w:szCs w:val="17"/>
                <w:color w:val="auto"/>
              </w:rPr>
            </w:pP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located at T2, XPENG Tech Park, No. 10, Cencun Fengzhuang Avenue, Tianhe District, Guangzhou, PRC (the “Meeting”).</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Meeting Agenda:</w:t>
            </w: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Please refer to the Company’s Notice of Meeting enclosed herewith (For more information regarding the Meeting and to</w:t>
            </w:r>
          </w:p>
        </w:tc>
      </w:tr>
      <w:tr>
        <w:trPr>
          <w:trHeight w:val="203"/>
        </w:trPr>
        <w:tc>
          <w:tcPr>
            <w:tcW w:w="2180" w:type="dxa"/>
            <w:vAlign w:val="bottom"/>
          </w:tcPr>
          <w:p>
            <w:pPr>
              <w:spacing w:after="0"/>
              <w:rPr>
                <w:sz w:val="17"/>
                <w:szCs w:val="17"/>
                <w:color w:val="auto"/>
              </w:rPr>
            </w:pP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view the materials related to the Meeting, please visit the Company’s website at https://ir.xiaopeng.com.)</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Depositary:</w:t>
            </w: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Citibank, N.A.</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Deposit Agreement:</w:t>
            </w: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Deposit Agreement, dated as of August 31, 2020.</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Deposited Securities:</w:t>
            </w: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Class A Ordinary Shares, par value US$0.00001 per share, of the Company.</w:t>
            </w: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Custodian:</w:t>
            </w:r>
          </w:p>
        </w:tc>
        <w:tc>
          <w:tcPr>
            <w:tcW w:w="88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Citibank, N.A. - Hong Kong.</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ADS CUSIP No. is provided as a convenience only and without any liability for accuracy.</w:t>
      </w:r>
    </w:p>
    <w:p>
      <w:pPr>
        <w:spacing w:after="0" w:line="1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1"/>
          <w:szCs w:val="11"/>
          <w:color w:val="auto"/>
        </w:rPr>
        <w:t>The undersigned holder, as of the ADS Record Date, of the American Depositary Receipt(s) issued under the Deposit Agreement and evidencing the American Depositary Shares identified hereof (such American Depositary Shares, the “ADSs”) hereby authorizes and directs the Depositary to cause to be voted at the Meeting (and any adjournment or postponement thereof) the Deposited Securities represented by the ADSs in the manner indicated on the reverse side hereof.</w:t>
      </w:r>
    </w:p>
    <w:p>
      <w:pPr>
        <w:spacing w:after="0" w:line="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1"/>
          <w:szCs w:val="11"/>
          <w:b w:val="1"/>
          <w:bCs w:val="1"/>
          <w:i w:val="1"/>
          <w:iCs w:val="1"/>
          <w:color w:val="auto"/>
        </w:rPr>
        <w:t>The Depositary has been advised by the Company that under the Articles of Association of the Company as currently in effect, voting at any meeting of shareholders of the Company is by poll except where the chairman of such meeting, in good faith, decides to allow a resolution which relates purely to a procedural or administrative matter to be voted on by a show of hands. Under the Articles of Association of the Company as currently in effect, a poll may be demanded by any one or more shareholders who together hold shares carrying not less than 10% of all votes attaching to all of the total issued voting shares of the Company present in person or by proxy. The Depositary will not join in demanding a poll, whether or not requested to do so by Holders of ADSs.</w:t>
      </w:r>
    </w:p>
    <w:p>
      <w:pPr>
        <w:spacing w:after="0" w:line="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1"/>
          <w:szCs w:val="11"/>
          <w:b w:val="1"/>
          <w:bCs w:val="1"/>
          <w:i w:val="1"/>
          <w:iCs w:val="1"/>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received timely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8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1"/>
          <w:szCs w:val="11"/>
          <w:b w:val="1"/>
          <w:bCs w:val="1"/>
          <w:i w:val="1"/>
          <w:iCs w:val="1"/>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to have instructed the Depositary to vote in favor of the items set forth in such voting instructions. Notwithstanding anything to the contrary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1"/>
          <w:szCs w:val="11"/>
          <w:b w:val="1"/>
          <w:bCs w:val="1"/>
          <w:i w:val="1"/>
          <w:iCs w:val="1"/>
          <w:color w:val="auto"/>
        </w:rPr>
        <w:t>“Holder(s)” shall mean the person(s) in whose name the ADSs are registered on the books of the Depositary (or the registrar appointed by the Depositary, if any) maintained for such purpose. All capitalized terms not defined herein shall have the meanings ascribed thereto in the Deposit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Please indicate on the reverse side hereof how the Deposited Securities are to be voted.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Voting Instructions must be signed, completed and received at the indicated address on time in order to be counted.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By signing on the reverse side hereof, the undersigned represents to the Depositary and the Company that the undersigned is duly authorized to give the voting instructions contained therein.</w:t>
      </w:r>
    </w:p>
    <w:p>
      <w:pPr>
        <w:sectPr>
          <w:pgSz w:w="11900" w:h="16838" w:orient="portrait"/>
          <w:cols w:equalWidth="0" w:num="1">
            <w:col w:w="11020"/>
          </w:cols>
          <w:pgMar w:left="440" w:top="117"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 1 — Ordinary Resolution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receive and adopt the audited consolidated financial statements of the Company and the reports of the directors (the “Director(s)”) and the auditor of the Company as of and for the year ended December 31, 2025.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2 — Ordinary Resolution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re-elect Mr. Donghao Yang as an independent non-executive Director as detailed in the proxy statement/circular dated May 11,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3 — Ordinary Resolution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re-elect Mr. HongJiang Zhang as an independent non-executive Director as detailed in the proxy statement/circular dated May 11,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4 — Ordinary Resolution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re-elect Mr. Yudong Chen as an independent non-executive Director as detailed in the proxy statement/circular dated May 11,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5 — Ordinary Resolution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authorize the Board of Directors to fix the respective Directors’ remuneration.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6 — Ordinary Resolution</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3"/>
          <w:szCs w:val="13"/>
          <w:color w:val="auto"/>
        </w:rPr>
        <w:t>To re-appoint PricewaterhouseCoopers and PricewaterhouseCoopers Zhong Tian LLP as auditors of the Company to hold office until the conclusion of the next annual general meeting of the Company and to authorize the Board of Directors to fix their remunerations for the year ending December 31, 2026 as detailed in the proxy statement/circular dated May 11,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7 — Ordinary Resolution</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3"/>
          <w:szCs w:val="13"/>
          <w:color w:val="auto"/>
        </w:rPr>
        <w:t>THAT consider and approve the grant of a general mandate to the Directors to issue, allot, and deal with additional Class A ordinary shares of the Company not exceeding 20% of the total number of issued shares (excluding treasury shares) of the Company as of the date of passing of this resolution as detailed in the proxy statement/circular dated May 11,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8 — Ordinary Resolution</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3"/>
          <w:szCs w:val="13"/>
          <w:color w:val="auto"/>
        </w:rPr>
        <w:t>THAT consider and approve the grant of a general mandate to the Directors to repurchase shares and/or ADSs of the Company not exceeding 10% of the total number of issued shares (excluding treasury shares) of the Company as of the date of passing of this resolution as detailed in the proxy statement/circular dated May 11,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9 — Ordinary Resolution</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3"/>
          <w:szCs w:val="13"/>
          <w:color w:val="auto"/>
        </w:rPr>
        <w:t>THAT consider and approve the extension of the general mandate granted to the Directors to issue, allot and deal with additional shares in the share capital of the Company by the aggregate number of the shares and/ or shares underlying the ADSs repurchased by the Company as detailed in the proxy statement/circular dated May 11,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 10 — Special Resolution</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THAT consider and approve the proposed amendments to the memorandum and articles of association of the Company and the adoption of the tenth amended and restated memorandum and articles of association of the Company as detailed in the proxy statement/circular dated May 11, 2026 to replace the ninth amended and restated memorandum and articles of association of the Company adopted by special resolution passed on June 20, 2023 in its entirety.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Company has informed the Depositary that the Board of Directors of the Company recommends a vote FOR resolutions 1 to 10.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15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 xml:space="preserve">Issues       </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XPeng Inc.</w:t>
            </w: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20"/>
        </w:trPr>
        <w:tc>
          <w:tcPr>
            <w:tcW w:w="1500" w:type="dxa"/>
            <w:vAlign w:val="bottom"/>
          </w:tcPr>
          <w:p>
            <w:pPr>
              <w:spacing w:after="0"/>
              <w:rPr>
                <w:sz w:val="24"/>
                <w:szCs w:val="24"/>
                <w:color w:val="auto"/>
              </w:rPr>
            </w:pPr>
          </w:p>
        </w:tc>
        <w:tc>
          <w:tcPr>
            <w:tcW w:w="54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rPr>
              <w:t>For</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Against Abstain</w:t>
            </w:r>
          </w:p>
        </w:tc>
        <w:tc>
          <w:tcPr>
            <w:tcW w:w="1360" w:type="dxa"/>
            <w:vAlign w:val="bottom"/>
          </w:tcPr>
          <w:p>
            <w:pPr>
              <w:spacing w:after="0"/>
              <w:rPr>
                <w:sz w:val="24"/>
                <w:szCs w:val="24"/>
                <w:color w:val="auto"/>
              </w:rPr>
            </w:pPr>
          </w:p>
        </w:tc>
        <w:tc>
          <w:tcPr>
            <w:tcW w:w="72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For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Abstain  </w:t>
            </w:r>
          </w:p>
        </w:tc>
      </w:tr>
      <w:tr>
        <w:trPr>
          <w:trHeight w:val="242"/>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Resolution 1</w:t>
            </w:r>
          </w:p>
        </w:tc>
        <w:tc>
          <w:tcPr>
            <w:tcW w:w="540" w:type="dxa"/>
            <w:vAlign w:val="bottom"/>
          </w:tcPr>
          <w:p>
            <w:pPr>
              <w:jc w:val="center"/>
              <w:ind w:left="143"/>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Resolution 6</w:t>
            </w:r>
          </w:p>
        </w:tc>
        <w:tc>
          <w:tcPr>
            <w:tcW w:w="720" w:type="dxa"/>
            <w:vAlign w:val="bottom"/>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391"/>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Resolution 2</w:t>
            </w:r>
          </w:p>
        </w:tc>
        <w:tc>
          <w:tcPr>
            <w:tcW w:w="540" w:type="dxa"/>
            <w:vAlign w:val="bottom"/>
          </w:tcPr>
          <w:p>
            <w:pPr>
              <w:jc w:val="center"/>
              <w:ind w:left="143"/>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Resolution 7</w:t>
            </w:r>
          </w:p>
        </w:tc>
        <w:tc>
          <w:tcPr>
            <w:tcW w:w="720" w:type="dxa"/>
            <w:vAlign w:val="bottom"/>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392"/>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Resolution 3</w:t>
            </w:r>
          </w:p>
        </w:tc>
        <w:tc>
          <w:tcPr>
            <w:tcW w:w="540" w:type="dxa"/>
            <w:vAlign w:val="bottom"/>
          </w:tcPr>
          <w:p>
            <w:pPr>
              <w:jc w:val="center"/>
              <w:ind w:left="143"/>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Resolution 7</w:t>
            </w:r>
          </w:p>
        </w:tc>
        <w:tc>
          <w:tcPr>
            <w:tcW w:w="720" w:type="dxa"/>
            <w:vAlign w:val="bottom"/>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391"/>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Resolution 4</w:t>
            </w:r>
          </w:p>
        </w:tc>
        <w:tc>
          <w:tcPr>
            <w:tcW w:w="540" w:type="dxa"/>
            <w:vAlign w:val="bottom"/>
          </w:tcPr>
          <w:p>
            <w:pPr>
              <w:jc w:val="center"/>
              <w:ind w:left="143"/>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Resolution 9</w:t>
            </w:r>
          </w:p>
        </w:tc>
        <w:tc>
          <w:tcPr>
            <w:tcW w:w="720" w:type="dxa"/>
            <w:vAlign w:val="bottom"/>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392"/>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Resolution 5</w:t>
            </w:r>
          </w:p>
        </w:tc>
        <w:tc>
          <w:tcPr>
            <w:tcW w:w="540" w:type="dxa"/>
            <w:vAlign w:val="bottom"/>
          </w:tcPr>
          <w:p>
            <w:pPr>
              <w:jc w:val="center"/>
              <w:ind w:left="143"/>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10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Resolution 10</w:t>
            </w:r>
          </w:p>
        </w:tc>
        <w:tc>
          <w:tcPr>
            <w:tcW w:w="720" w:type="dxa"/>
            <w:vAlign w:val="bottom"/>
          </w:tcPr>
          <w:p>
            <w:pPr>
              <w:jc w:val="center"/>
              <w:ind w:left="328"/>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-1593215</wp:posOffset>
            </wp:positionV>
            <wp:extent cx="15430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sz w:val="1"/>
          <w:szCs w:val="1"/>
          <w:color w:val="auto"/>
        </w:rPr>
        <w:drawing>
          <wp:inline distT="0" distB="0" distL="0" distR="0">
            <wp:extent cx="162560" cy="1543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 xml:space="preserve"> Authorized Signatures - Sign Here - This section must be completed for your instructions to be executed.</w:t>
      </w:r>
    </w:p>
    <w:p>
      <w:pPr>
        <w:spacing w:after="0" w:line="9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3"/>
          <w:szCs w:val="13"/>
          <w:color w:val="auto"/>
        </w:rPr>
        <w:t>If these Voting Instructions are signed and timely returned to the Depositary but no specific direction as to voting is marked above as to an issue, the undersigned shall be deemed to have directed the Depositary to give Voting Instructions “FOR” the unmarked issue.</w:t>
      </w:r>
    </w:p>
    <w:p>
      <w:pPr>
        <w:spacing w:after="0" w:line="7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3"/>
          <w:szCs w:val="13"/>
          <w:color w:val="auto"/>
        </w:rPr>
        <w:t>If these Voting Instructions are signed and timely returned to the Depositary but multiple specific directions as to voting are marked above as to an issue, the undersigned shall be deemed to have directed the Depositary to give an “ABSTAIN” Voting Instruction for such issue.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be sure to sign and date this Voting Instructions Card.</w:t>
      </w:r>
    </w:p>
    <w:p>
      <w:pPr>
        <w:spacing w:after="0" w:line="9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3"/>
          <w:szCs w:val="13"/>
          <w:color w:val="auto"/>
        </w:rPr>
        <w:t>Please sign your name to the Voting Instructions exactly as printed. When signing in a fiduciary or representative capacity, give full title as such. Where more than one owner, each MUST sign. Voting Instructions executed by a corporation should be signed in full name by a duly authorized officer with full title as such.</w:t>
      </w:r>
    </w:p>
    <w:p>
      <w:pPr>
        <w:spacing w:after="0" w:line="210" w:lineRule="exact"/>
        <w:rPr>
          <w:sz w:val="20"/>
          <w:szCs w:val="20"/>
          <w:color w:val="auto"/>
        </w:rPr>
      </w:pPr>
    </w:p>
    <w:p>
      <w:pPr>
        <w:spacing w:after="0"/>
        <w:tabs>
          <w:tab w:leader="none" w:pos="3960" w:val="left"/>
          <w:tab w:leader="none" w:pos="7600" w:val="left"/>
        </w:tabs>
        <w:rPr>
          <w:sz w:val="20"/>
          <w:szCs w:val="20"/>
          <w:color w:val="auto"/>
        </w:rPr>
      </w:pPr>
      <w:r>
        <w:rPr>
          <w:rFonts w:ascii="Times New Roman" w:cs="Times New Roman" w:eastAsia="Times New Roman" w:hAnsi="Times New Roman"/>
          <w:sz w:val="14"/>
          <w:szCs w:val="14"/>
          <w:color w:val="auto"/>
        </w:rPr>
        <w:t>Signature 1 - Please keep signature within the line</w:t>
      </w:r>
      <w:r>
        <w:rPr>
          <w:sz w:val="20"/>
          <w:szCs w:val="20"/>
          <w:color w:val="auto"/>
        </w:rPr>
        <w:tab/>
      </w:r>
      <w:r>
        <w:rPr>
          <w:rFonts w:ascii="Times New Roman" w:cs="Times New Roman" w:eastAsia="Times New Roman" w:hAnsi="Times New Roman"/>
          <w:sz w:val="14"/>
          <w:szCs w:val="14"/>
          <w:color w:val="auto"/>
        </w:rPr>
        <w:t>Signature 2 - Please keep signature within the line</w:t>
      </w:r>
      <w:r>
        <w:rPr>
          <w:sz w:val="20"/>
          <w:szCs w:val="20"/>
          <w:color w:val="auto"/>
        </w:rPr>
        <w:tab/>
      </w:r>
      <w:r>
        <w:rPr>
          <w:rFonts w:ascii="Times New Roman" w:cs="Times New Roman" w:eastAsia="Times New Roman" w:hAnsi="Times New Roman"/>
          <w:sz w:val="14"/>
          <w:szCs w:val="14"/>
          <w:color w:val="auto"/>
        </w:rPr>
        <w:t>Date (mm/dd/yyyy)</w:t>
      </w:r>
    </w:p>
    <w:p>
      <w:pPr>
        <w:spacing w:after="0" w:line="244" w:lineRule="exact"/>
        <w:rPr>
          <w:sz w:val="20"/>
          <w:szCs w:val="20"/>
          <w:color w:val="auto"/>
        </w:rPr>
      </w:pPr>
    </w:p>
    <w:p>
      <w:pPr>
        <w:ind w:left="9100"/>
        <w:spacing w:after="0"/>
        <w:tabs>
          <w:tab w:leader="none" w:pos="9320" w:val="left"/>
        </w:tabs>
        <w:rPr>
          <w:sz w:val="20"/>
          <w:szCs w:val="20"/>
          <w:color w:val="auto"/>
        </w:rPr>
      </w:pPr>
      <w:r>
        <w:rPr>
          <w:rFonts w:ascii="Times New Roman" w:cs="Times New Roman" w:eastAsia="Times New Roman" w:hAnsi="Times New Roman"/>
          <w:sz w:val="14"/>
          <w:szCs w:val="14"/>
          <w:color w:val="auto"/>
        </w:rPr>
        <w:t> / </w:t>
      </w:r>
      <w:r>
        <w:rPr>
          <w:sz w:val="20"/>
          <w:szCs w:val="20"/>
          <w:color w:val="auto"/>
        </w:rPr>
        <w:tab/>
      </w: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99516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020"/>
      </w:cols>
      <w:pgMar w:left="440"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
    <w:nsid w:val="257130A3"/>
    <w:multiLevelType w:val="hybridMultilevel"/>
    <w:lvl w:ilvl="0">
      <w:lvlJc w:val="left"/>
      <w:lvlText w:val="(%1)"/>
      <w:numFmt w:val="lowerLetter"/>
      <w:start w:val="2"/>
    </w:lvl>
    <w:lvl w:ilvl="1">
      <w:lvlJc w:val="left"/>
      <w:lvlText w:val="(%2)"/>
      <w:numFmt w:val="lowerRoman"/>
      <w:start w:val="1"/>
    </w:lvl>
  </w:abstractNum>
  <w:abstractNum w:abstractNumId="2">
    <w:nsid w:val="62BBD95A"/>
    <w:multiLevelType w:val="hybridMultilevel"/>
    <w:lvl w:ilvl="0">
      <w:lvlJc w:val="left"/>
      <w:lvlText w:val="(%1)"/>
      <w:numFmt w:val="lowerLetter"/>
      <w:start w:val="4"/>
    </w:lvl>
    <w:lvl w:ilvl="1">
      <w:lvlJc w:val="left"/>
      <w:lvlText w:val="(%2)"/>
      <w:numFmt w:val="lowerRoman"/>
      <w:start w:val="1"/>
    </w:lvl>
  </w:abstractNum>
  <w:abstractNum w:abstractNumId="3">
    <w:nsid w:val="436C612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
    <w:nsid w:val="628C895D"/>
    <w:multiLevelType w:val="hybridMultilevel"/>
    <w:lvl w:ilvl="0">
      <w:lvlJc w:val="left"/>
      <w:lvlText w:val="%1."/>
      <w:numFmt w:val="decimal"/>
      <w:start w:val="10"/>
    </w:lvl>
    <w:lvl w:ilvl="1">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
    <w:nsid w:val="2443A858"/>
    <w:multiLevelType w:val="hybridMultilevel"/>
    <w:lvl w:ilvl="0">
      <w:lvlJc w:val="left"/>
      <w:lvlText w:val="(%1)"/>
      <w:numFmt w:val="lowerLetter"/>
      <w:start w:val="2"/>
    </w:lvl>
    <w:lvl w:ilvl="1">
      <w:lvlJc w:val="left"/>
      <w:lvlText w:val="(%2)"/>
      <w:numFmt w:val="lowerRoman"/>
      <w:start w:val="1"/>
    </w:lvl>
  </w:abstractNum>
  <w:abstractNum w:abstractNumId="8">
    <w:nsid w:val="2D1D5AE9"/>
    <w:multiLevelType w:val="hybridMultilevel"/>
    <w:lvl w:ilvl="0">
      <w:lvlJc w:val="left"/>
      <w:lvlText w:val="(%1)"/>
      <w:numFmt w:val="lowerLetter"/>
      <w:start w:val="4"/>
    </w:lvl>
    <w:lvl w:ilvl="1">
      <w:lvlJc w:val="left"/>
      <w:lvlText w:val="(%2)"/>
      <w:numFmt w:val="lowerRoman"/>
      <w:start w:val="1"/>
    </w:lvl>
  </w:abstractNum>
  <w:abstractNum w:abstractNumId="9">
    <w:nsid w:val="6763845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
    <w:nsid w:val="75A2A8D4"/>
    <w:multiLevelType w:val="hybridMultilevel"/>
    <w:lvl w:ilvl="0">
      <w:lvlJc w:val="left"/>
      <w:lvlText w:val="%1."/>
      <w:numFmt w:val="decimal"/>
      <w:start w:val="10"/>
    </w:lvl>
    <w:lvl w:ilvl="1">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upperLetter"/>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lowerRoman"/>
      <w:start w:val="1"/>
    </w:lvl>
    <w:lvl w:ilvl="1">
      <w:lvlJc w:val="left"/>
      <w:lvlText w:val="-"/>
      <w:numFmt w:val="bullet"/>
      <w:start w:val="1"/>
    </w:lvl>
  </w:abstractNum>
  <w:abstractNum w:abstractNumId="16">
    <w:nsid w:val="54E49EB4"/>
    <w:multiLevelType w:val="hybridMultilevel"/>
    <w:lvl w:ilvl="0">
      <w:lvlJc w:val="left"/>
      <w:lvlText w:val="(%1)"/>
      <w:numFmt w:val="lowerRoman"/>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2"/>
    </w:lvl>
    <w:lvl w:ilvl="1">
      <w:lvlJc w:val="left"/>
      <w:lvlText w:val="-"/>
      <w:numFmt w:val="bullet"/>
      <w:start w:val="1"/>
    </w:lvl>
  </w:abstractNum>
  <w:abstractNum w:abstractNumId="20">
    <w:nsid w:val="2901D82"/>
    <w:multiLevelType w:val="hybridMultilevel"/>
    <w:lvl w:ilvl="0">
      <w:lvlJc w:val="left"/>
      <w:lvlText w:val="(%1)"/>
      <w:numFmt w:val="decimal"/>
      <w:start w:val="3"/>
    </w:lvl>
    <w:lvl w:ilvl="1">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3"/>
    </w:lvl>
    <w:lvl w:ilvl="1">
      <w:lvlJc w:val="left"/>
      <w:lvlText w:val="-"/>
      <w:numFmt w:val="bullet"/>
      <w:start w:val="1"/>
    </w:lvl>
  </w:abstractNum>
  <w:abstractNum w:abstractNumId="23">
    <w:nsid w:val="1E7FF521"/>
    <w:multiLevelType w:val="hybridMultilevel"/>
    <w:lvl w:ilvl="0">
      <w:lvlJc w:val="left"/>
      <w:lvlText w:val="%1."/>
      <w:numFmt w:val="decimal"/>
      <w:start w:val="6"/>
    </w:lvl>
  </w:abstractNum>
  <w:abstractNum w:abstractNumId="24">
    <w:nsid w:val="7C3DBD3D"/>
    <w:multiLevelType w:val="hybridMultilevel"/>
    <w:lvl w:ilvl="0">
      <w:lvlJc w:val="left"/>
      <w:lvlText w:val="%1."/>
      <w:numFmt w:val="decimal"/>
      <w:start w:val="8"/>
    </w:lvl>
    <w:lvl w:ilvl="1">
      <w:lvlJc w:val="left"/>
      <w:lvlText w:val="-"/>
      <w:numFmt w:val="bullet"/>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1."/>
      <w:numFmt w:val="decimal"/>
      <w:start w:val="64"/>
    </w:lvl>
    <w:lvl w:ilvl="1">
      <w:lvlJc w:val="left"/>
      <w:lvlText w:val="(%2)"/>
      <w:numFmt w:val="lowerLetter"/>
      <w:start w:val="1"/>
    </w:lvl>
    <w:lvl w:ilvl="2">
      <w:lvlJc w:val="left"/>
      <w:lvlText w:val="-"/>
      <w:numFmt w:val="bullet"/>
      <w:start w:val="1"/>
    </w:lvl>
  </w:abstractNum>
  <w:abstractNum w:abstractNumId="27">
    <w:nsid w:val="22221A70"/>
    <w:multiLevelType w:val="hybridMultilevel"/>
    <w:lvl w:ilvl="0">
      <w:lvlJc w:val="left"/>
      <w:lvlText w:val="%1."/>
      <w:numFmt w:val="decimal"/>
      <w:start w:val="72"/>
    </w:lvl>
  </w:abstractNum>
  <w:abstractNum w:abstractNumId="28">
    <w:nsid w:val="4516DDE9"/>
    <w:multiLevelType w:val="hybridMultilevel"/>
    <w:lvl w:ilvl="0">
      <w:lvlJc w:val="left"/>
      <w:lvlText w:val="%1."/>
      <w:numFmt w:val="decimal"/>
      <w:start w:val="76"/>
    </w:lvl>
  </w:abstractNum>
  <w:abstractNum w:abstractNumId="29">
    <w:nsid w:val="3006C83E"/>
    <w:multiLevelType w:val="hybridMultilevel"/>
    <w:lvl w:ilvl="0">
      <w:lvlJc w:val="left"/>
      <w:lvlText w:val="%1."/>
      <w:numFmt w:val="decimal"/>
      <w:start w:val="80"/>
    </w:lvl>
    <w:lvl w:ilvl="1">
      <w:lvlJc w:val="left"/>
      <w:lvlText w:val="-"/>
      <w:numFmt w:val="bullet"/>
      <w:start w:val="1"/>
    </w:lvl>
  </w:abstractNum>
  <w:abstractNum w:abstractNumId="30">
    <w:nsid w:val="614FD4A1"/>
    <w:multiLevelType w:val="hybridMultilevel"/>
    <w:lvl w:ilvl="0">
      <w:lvlJc w:val="left"/>
      <w:lvlText w:val="%1."/>
      <w:numFmt w:val="decimal"/>
      <w:start w:val="85"/>
    </w:lvl>
    <w:lvl w:ilvl="1">
      <w:lvlJc w:val="left"/>
      <w:lvlText w:val="(%2)"/>
      <w:numFmt w:val="lowerLetter"/>
      <w:start w:val="1"/>
    </w:lvl>
    <w:lvl w:ilvl="2">
      <w:lvlJc w:val="left"/>
      <w:lvlText w:val="-"/>
      <w:numFmt w:val="bullet"/>
      <w:start w:val="1"/>
    </w:lvl>
  </w:abstractNum>
  <w:abstractNum w:abstractNumId="31">
    <w:nsid w:val="419AC241"/>
    <w:multiLevelType w:val="hybridMultilevel"/>
    <w:lvl w:ilvl="0">
      <w:lvlJc w:val="left"/>
      <w:lvlText w:val="%1."/>
      <w:numFmt w:val="decimal"/>
      <w:start w:val="120"/>
    </w:lvl>
    <w:lvl w:ilvl="1">
      <w:lvlJc w:val="left"/>
      <w:lvlText w:val="(%2)"/>
      <w:numFmt w:val="lowerLetter"/>
      <w:start w:val="1"/>
    </w:lvl>
  </w:abstractNum>
  <w:abstractNum w:abstractNumId="32">
    <w:nsid w:val="5577F8E1"/>
    <w:multiLevelType w:val="hybridMultilevel"/>
    <w:lvl w:ilvl="0">
      <w:lvlJc w:val="left"/>
      <w:lvlText w:val="%1."/>
      <w:numFmt w:val="decimal"/>
      <w:start w:val="122"/>
    </w:lvl>
  </w:abstractNum>
  <w:abstractNum w:abstractNumId="33">
    <w:nsid w:val="440BADFC"/>
    <w:multiLevelType w:val="hybridMultilevel"/>
    <w:lvl w:ilvl="0">
      <w:lvlJc w:val="left"/>
      <w:lvlText w:val="%1."/>
      <w:numFmt w:val="decimal"/>
      <w:start w:val="153"/>
    </w:lvl>
    <w:lvl w:ilvl="1">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2026-05-11T09:09:43Z</dcterms:created>
  <dcterms:modified xsi:type="dcterms:W3CDTF">2026-05-11T09:09:43Z</dcterms:modified>
</cp:coreProperties>
</file>