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ind w:left="1240" w:hanging="1322"/>
        <w:spacing w:after="0" w:line="282" w:lineRule="auto"/>
        <w:tabs>
          <w:tab w:leader="none" w:pos="12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Announcement: Proposed Amendments to the Existing Memorandum and Articles of Association and Proposed Adoption of the New Memorandum and Articles of Association</w:t>
      </w:r>
    </w:p>
    <w:p>
      <w:pPr>
        <w:sectPr>
          <w:pgSz w:w="11900" w:h="16838" w:orient="portrait"/>
          <w:cols w:equalWidth="0" w:num="1">
            <w:col w:w="10840"/>
          </w:cols>
          <w:pgMar w:left="520" w:top="266"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left="4"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140335</wp:posOffset>
            </wp:positionV>
            <wp:extent cx="102870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ind w:right="-3"/>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ind w:right="-3"/>
        <w:spacing w:after="0" w:line="207" w:lineRule="exact"/>
        <w:rPr>
          <w:sz w:val="20"/>
          <w:szCs w:val="20"/>
          <w:color w:val="auto"/>
        </w:rPr>
      </w:pPr>
      <w:r>
        <w:rPr>
          <w:rFonts w:ascii="PMingLiU" w:cs="PMingLiU" w:eastAsia="PMingLiU" w:hAnsi="PMingLiU"/>
          <w:sz w:val="16"/>
          <w:szCs w:val="16"/>
          <w:color w:val="auto"/>
        </w:rPr>
        <w:t>（</w:t>
      </w:r>
      <w:r>
        <w:rPr>
          <w:rFonts w:ascii="Times New Roman" w:cs="Times New Roman" w:eastAsia="Times New Roman" w:hAnsi="Times New Roman"/>
          <w:sz w:val="18"/>
          <w:szCs w:val="18"/>
          <w:b w:val="1"/>
          <w:bCs w:val="1"/>
          <w:color w:val="auto"/>
        </w:rPr>
        <w:t>Stock Code</w:t>
      </w:r>
      <w:r>
        <w:rPr>
          <w:rFonts w:ascii="PMingLiU" w:cs="PMingLiU" w:eastAsia="PMingLiU" w:hAnsi="PMingLiU"/>
          <w:sz w:val="16"/>
          <w:szCs w:val="16"/>
          <w:color w:val="auto"/>
        </w:rPr>
        <w:t>：</w:t>
      </w:r>
      <w:r>
        <w:rPr>
          <w:rFonts w:ascii="Times New Roman" w:cs="Times New Roman" w:eastAsia="Times New Roman" w:hAnsi="Times New Roman"/>
          <w:sz w:val="18"/>
          <w:szCs w:val="18"/>
          <w:b w:val="1"/>
          <w:bCs w:val="1"/>
          <w:color w:val="auto"/>
        </w:rPr>
        <w:t>9868</w:t>
      </w:r>
      <w:r>
        <w:rPr>
          <w:rFonts w:ascii="PMingLiU" w:cs="PMingLiU" w:eastAsia="PMingLiU" w:hAnsi="PMingLiU"/>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-115570</wp:posOffset>
            </wp:positionV>
            <wp:extent cx="52070"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70" cy="117475"/>
                    </a:xfrm>
                    <a:prstGeom prst="rect">
                      <a:avLst/>
                    </a:prstGeom>
                    <a:noFill/>
                  </pic:spPr>
                </pic:pic>
              </a:graphicData>
            </a:graphic>
          </wp:anchor>
        </w:drawing>
        <w:drawing>
          <wp:anchor simplePos="0" relativeHeight="251657728" behindDoc="1" locked="0" layoutInCell="0" allowOverlap="1">
            <wp:simplePos x="0" y="0"/>
            <wp:positionH relativeFrom="column">
              <wp:posOffset>3642360</wp:posOffset>
            </wp:positionH>
            <wp:positionV relativeFrom="paragraph">
              <wp:posOffset>-97155</wp:posOffset>
            </wp:positionV>
            <wp:extent cx="41275" cy="8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AMENDMENTS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EXISTING MEMORANDUM 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PROPOSED ADOPTION OF</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NEW MEMORANDUM 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03"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color w:val="auto"/>
        </w:rPr>
        <w:t>This announcement is made by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Rule 13.51(1) of the Rules Governing the Listing of Securities on The Stock Exchange of Hong Kong Limited (the “</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proposes to amend the Company’s ninth amended and restated memorandum and articles of association (the “</w:t>
      </w:r>
      <w:r>
        <w:rPr>
          <w:rFonts w:ascii="Times New Roman" w:cs="Times New Roman" w:eastAsia="Times New Roman" w:hAnsi="Times New Roman"/>
          <w:sz w:val="18"/>
          <w:szCs w:val="18"/>
          <w:b w:val="1"/>
          <w:bCs w:val="1"/>
          <w:color w:val="auto"/>
        </w:rPr>
        <w:t>Existing Memorandum and Articles</w:t>
      </w:r>
      <w:r>
        <w:rPr>
          <w:rFonts w:ascii="Times New Roman" w:cs="Times New Roman" w:eastAsia="Times New Roman" w:hAnsi="Times New Roman"/>
          <w:sz w:val="18"/>
          <w:szCs w:val="18"/>
          <w:color w:val="auto"/>
        </w:rPr>
        <w:t>”), and to adopt the tenth amended and restated memorandum and articles of association of the Company (the “</w:t>
      </w:r>
      <w:r>
        <w:rPr>
          <w:rFonts w:ascii="Times New Roman" w:cs="Times New Roman" w:eastAsia="Times New Roman" w:hAnsi="Times New Roman"/>
          <w:sz w:val="18"/>
          <w:szCs w:val="18"/>
          <w:b w:val="1"/>
          <w:bCs w:val="1"/>
          <w:color w:val="auto"/>
        </w:rPr>
        <w:t>New Memorandum and Articles</w:t>
      </w:r>
      <w:r>
        <w:rPr>
          <w:rFonts w:ascii="Times New Roman" w:cs="Times New Roman" w:eastAsia="Times New Roman" w:hAnsi="Times New Roman"/>
          <w:sz w:val="18"/>
          <w:szCs w:val="18"/>
          <w:color w:val="auto"/>
        </w:rPr>
        <w:t>”), in order to, inter alia, (i) conform with the Core Shareholder Protection Standards set out in Appendix A1 of the Listing Rules which require, among others, the holding of general meetings which shareholders can attend virtually with the use of technology and cast votes by electronic means, (ii) conform with the Corporate Governance Code set out in Appendix C1 of the Listing Rules which introduces, among others, the updated terms of reference of the nomination committee, and (iii) make housekeeping changes.</w:t>
      </w:r>
    </w:p>
    <w:p>
      <w:pPr>
        <w:spacing w:after="0" w:line="182" w:lineRule="exact"/>
        <w:rPr>
          <w:sz w:val="20"/>
          <w:szCs w:val="20"/>
          <w:color w:val="auto"/>
        </w:rPr>
      </w:pPr>
    </w:p>
    <w:p>
      <w:pPr>
        <w:ind w:left="4" w:right="200"/>
        <w:spacing w:after="0" w:line="262" w:lineRule="auto"/>
        <w:rPr>
          <w:sz w:val="20"/>
          <w:szCs w:val="20"/>
          <w:color w:val="auto"/>
        </w:rPr>
      </w:pPr>
      <w:r>
        <w:rPr>
          <w:rFonts w:ascii="Times New Roman" w:cs="Times New Roman" w:eastAsia="Times New Roman" w:hAnsi="Times New Roman"/>
          <w:sz w:val="18"/>
          <w:szCs w:val="18"/>
          <w:color w:val="auto"/>
        </w:rPr>
        <w:t>The proposed amendments to the Existing Memorandum and Articles (the “</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and the proposed adoption of the New Memorandum and Articles shall be subject to the approval of the shareholders of the Company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by way of a special resolution at the forthcoming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 proxy statement/circular for the AGM, containing, among other matters, details of the Proposed Amendments, together with a notice convening the AGM will be despatched to the Shareholders in due course.</w:t>
      </w:r>
    </w:p>
    <w:p>
      <w:pPr>
        <w:spacing w:after="0" w:line="20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Wednesday, April 29, 2026</w:t>
      </w:r>
    </w:p>
    <w:p>
      <w:pPr>
        <w:spacing w:after="0" w:line="223" w:lineRule="exact"/>
        <w:rPr>
          <w:sz w:val="20"/>
          <w:szCs w:val="20"/>
          <w:color w:val="auto"/>
        </w:rPr>
      </w:pPr>
    </w:p>
    <w:p>
      <w:pPr>
        <w:ind w:left="4" w:right="320"/>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Mr. Xiaopeng He as an executive director, Mr. Ji-Xun Foo as a non-executive director, and Mr. Donghao Yang, Ms. Fang Qu, Mr. HongJiang Zhang and Mr. Yudong Chen as independent non-executive directors.</w:t>
      </w:r>
    </w:p>
    <w:p>
      <w:pPr>
        <w:spacing w:after="0" w:line="185" w:lineRule="exact"/>
        <w:rPr>
          <w:sz w:val="20"/>
          <w:szCs w:val="20"/>
          <w:color w:val="auto"/>
        </w:rPr>
      </w:pPr>
    </w:p>
    <w:p>
      <w:pPr>
        <w:ind w:left="224" w:hanging="224"/>
        <w:spacing w:after="0"/>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2026-04-29T07:54:29Z</dcterms:created>
  <dcterms:modified xsi:type="dcterms:W3CDTF">2026-04-29T07:54:29Z</dcterms:modified>
</cp:coreProperties>
</file>