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90286d6k.htm"/>
      <w:bookmarkStart w:id="1" w:name="ksd190286d6k"/>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6-K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REPORT OF FOREIGN PRIVATE ISSUER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RULE 13a-16 OR 15d-16 </w:t>
      </w:r>
    </w:p>
    <w:p>
      <w:pPr>
        <w:pStyle w:val="TextBody"/>
        <w:bidi w:val="0"/>
        <w:spacing w:before="0" w:after="0"/>
        <w:jc w:val="center"/>
        <w:rPr>
          <w:rFonts w:ascii="Times New Roman" w:hAnsi="Times New Roman"/>
          <w:b/>
          <w:sz w:val="24"/>
        </w:rPr>
      </w:pPr>
      <w:r>
        <w:rPr>
          <w:rFonts w:ascii="Times New Roman" w:hAnsi="Times New Roman"/>
          <w:b/>
          <w:sz w:val="24"/>
        </w:rPr>
        <w:t xml:space="preserve">OF THE SECURITIES EXCHANGE ACT OF 1934 </w:t>
      </w:r>
    </w:p>
    <w:p>
      <w:pPr>
        <w:pStyle w:val="TextBody"/>
        <w:bidi w:val="0"/>
        <w:spacing w:before="240" w:after="0"/>
        <w:jc w:val="center"/>
        <w:rPr>
          <w:rFonts w:ascii="Times New Roman" w:hAnsi="Times New Roman"/>
          <w:b/>
          <w:sz w:val="20"/>
        </w:rPr>
      </w:pPr>
      <w:r>
        <w:rPr>
          <w:rFonts w:ascii="Times New Roman" w:hAnsi="Times New Roman"/>
          <w:b/>
          <w:sz w:val="20"/>
        </w:rPr>
        <w:t xml:space="preserve">October 2026 </w:t>
      </w:r>
    </w:p>
    <w:p>
      <w:pPr>
        <w:pStyle w:val="TextBody"/>
        <w:bidi w:val="0"/>
        <w:spacing w:before="240" w:after="0"/>
        <w:jc w:val="center"/>
        <w:rPr>
          <w:rFonts w:ascii="Times New Roman" w:hAnsi="Times New Roman"/>
          <w:b/>
          <w:sz w:val="20"/>
        </w:rPr>
      </w:pPr>
      <w:r>
        <w:rPr>
          <w:rFonts w:ascii="Times New Roman" w:hAnsi="Times New Roman"/>
          <w:b/>
          <w:sz w:val="20"/>
        </w:rPr>
        <w:t xml:space="preserve">Commission File Number: 001-39466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XPENG INC.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No.10, Cencun Fengzhuang Avenue </w:t>
      </w:r>
    </w:p>
    <w:p>
      <w:pPr>
        <w:pStyle w:val="TextBody"/>
        <w:bidi w:val="0"/>
        <w:spacing w:before="0" w:after="0"/>
        <w:jc w:val="center"/>
        <w:rPr>
          <w:rFonts w:ascii="Times New Roman" w:hAnsi="Times New Roman"/>
          <w:b/>
          <w:sz w:val="20"/>
        </w:rPr>
      </w:pPr>
      <w:r>
        <w:rPr>
          <w:rFonts w:ascii="Times New Roman" w:hAnsi="Times New Roman"/>
          <w:b/>
          <w:sz w:val="20"/>
        </w:rPr>
        <w:t xml:space="preserve">Tianhe District, Guangzhou </w:t>
      </w:r>
    </w:p>
    <w:p>
      <w:pPr>
        <w:pStyle w:val="TextBody"/>
        <w:bidi w:val="0"/>
        <w:spacing w:before="0" w:after="0"/>
        <w:jc w:val="center"/>
        <w:rPr>
          <w:rFonts w:ascii="Times New Roman" w:hAnsi="Times New Roman"/>
          <w:b/>
          <w:sz w:val="20"/>
        </w:rPr>
      </w:pPr>
      <w:r>
        <w:rPr>
          <w:rFonts w:ascii="Times New Roman" w:hAnsi="Times New Roman"/>
          <w:b/>
          <w:sz w:val="20"/>
        </w:rPr>
        <w:t xml:space="preserve">Guangdong 510640 </w:t>
      </w:r>
    </w:p>
    <w:p>
      <w:pPr>
        <w:pStyle w:val="TextBody"/>
        <w:bidi w:val="0"/>
        <w:spacing w:before="0" w:after="0"/>
        <w:jc w:val="center"/>
        <w:rPr>
          <w:rFonts w:ascii="Times New Roman" w:hAnsi="Times New Roman"/>
          <w:b/>
          <w:sz w:val="20"/>
        </w:rPr>
      </w:pPr>
      <w:r>
        <w:rPr>
          <w:rFonts w:ascii="Times New Roman" w:hAnsi="Times New Roman"/>
          <w:b/>
          <w:sz w:val="20"/>
        </w:rPr>
        <w:t xml:space="preserve">People’s Republic of China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files or will file annual reports under cover Form 20-F or Form 40-F. </w:t>
      </w:r>
    </w:p>
    <w:p>
      <w:pPr>
        <w:pStyle w:val="TextBody"/>
        <w:bidi w:val="0"/>
        <w:spacing w:before="240" w:after="0"/>
        <w:jc w:val="center"/>
        <w:rPr>
          <w:rFonts w:ascii="Times New Roman" w:hAnsi="Times New Roman"/>
          <w:sz w:val="20"/>
        </w:rPr>
      </w:pPr>
      <w:r>
        <w:rPr>
          <w:rFonts w:ascii="Times New Roman" w:hAnsi="Times New Roman"/>
          <w:sz w:val="20"/>
        </w:rPr>
        <w:t xml:space="preserve">Form 20-F ☒   Form 40-F ☐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569"/>
        <w:gridCol w:w="413"/>
        <w:gridCol w:w="3850"/>
        <w:gridCol w:w="518"/>
        <w:gridCol w:w="3855"/>
      </w:tblGrid>
      <w:tr>
        <w:trPr/>
        <w:tc>
          <w:tcPr>
            <w:tcW w:w="1569" w:type="dxa"/>
            <w:tcBorders/>
            <w:vAlign w:val="center"/>
          </w:tcPr>
          <w:p>
            <w:pPr>
              <w:pStyle w:val="TableContents"/>
              <w:bidi w:val="0"/>
              <w:spacing w:before="0" w:after="283"/>
              <w:jc w:val="left"/>
              <w:rPr>
                <w:sz w:val="4"/>
                <w:szCs w:val="4"/>
              </w:rPr>
            </w:pPr>
            <w:r>
              <w:rPr>
                <w:sz w:val="4"/>
                <w:szCs w:val="4"/>
              </w:rPr>
            </w:r>
          </w:p>
        </w:tc>
        <w:tc>
          <w:tcPr>
            <w:tcW w:w="413" w:type="dxa"/>
            <w:tcBorders/>
            <w:vAlign w:val="bottom"/>
          </w:tcPr>
          <w:p>
            <w:pPr>
              <w:pStyle w:val="TableContents"/>
              <w:bidi w:val="0"/>
              <w:spacing w:before="0" w:after="283"/>
              <w:jc w:val="left"/>
              <w:rPr>
                <w:sz w:val="4"/>
                <w:szCs w:val="4"/>
              </w:rPr>
            </w:pPr>
            <w:r>
              <w:rPr>
                <w:sz w:val="4"/>
                <w:szCs w:val="4"/>
              </w:rPr>
            </w:r>
          </w:p>
        </w:tc>
        <w:tc>
          <w:tcPr>
            <w:tcW w:w="3850" w:type="dxa"/>
            <w:tcBorders/>
            <w:vAlign w:val="center"/>
          </w:tcPr>
          <w:p>
            <w:pPr>
              <w:pStyle w:val="TableContents"/>
              <w:bidi w:val="0"/>
              <w:spacing w:before="0" w:after="283"/>
              <w:jc w:val="left"/>
              <w:rPr>
                <w:sz w:val="4"/>
                <w:szCs w:val="4"/>
              </w:rPr>
            </w:pPr>
            <w:r>
              <w:rPr>
                <w:sz w:val="4"/>
                <w:szCs w:val="4"/>
              </w:rPr>
            </w:r>
          </w:p>
        </w:tc>
        <w:tc>
          <w:tcPr>
            <w:tcW w:w="518" w:type="dxa"/>
            <w:tcBorders/>
            <w:vAlign w:val="bottom"/>
          </w:tcPr>
          <w:p>
            <w:pPr>
              <w:pStyle w:val="TableContents"/>
              <w:bidi w:val="0"/>
              <w:spacing w:before="0" w:after="283"/>
              <w:jc w:val="left"/>
              <w:rPr>
                <w:sz w:val="4"/>
                <w:szCs w:val="4"/>
              </w:rPr>
            </w:pPr>
            <w:r>
              <w:rPr>
                <w:sz w:val="4"/>
                <w:szCs w:val="4"/>
              </w:rPr>
            </w:r>
          </w:p>
        </w:tc>
        <w:tc>
          <w:tcPr>
            <w:tcW w:w="3855" w:type="dxa"/>
            <w:tcBorders/>
            <w:vAlign w:val="center"/>
          </w:tcPr>
          <w:p>
            <w:pPr>
              <w:pStyle w:val="TableContents"/>
              <w:bidi w:val="0"/>
              <w:spacing w:before="0" w:after="283"/>
              <w:jc w:val="left"/>
              <w:rPr>
                <w:sz w:val="4"/>
                <w:szCs w:val="4"/>
              </w:rPr>
            </w:pPr>
            <w:r>
              <w:rPr>
                <w:sz w:val="4"/>
                <w:szCs w:val="4"/>
              </w:rPr>
            </w:r>
          </w:p>
        </w:tc>
      </w:tr>
      <w:tr>
        <w:trPr/>
        <w:tc>
          <w:tcPr>
            <w:tcW w:w="1569" w:type="dxa"/>
            <w:tcBorders/>
          </w:tcPr>
          <w:p>
            <w:pPr>
              <w:pStyle w:val="TableContents"/>
              <w:bidi w:val="0"/>
              <w:spacing w:before="0" w:after="283"/>
              <w:jc w:val="left"/>
              <w:rPr/>
            </w:pPr>
            <w:r>
              <w:rPr/>
              <w:t>Exhibit 99.1</w:t>
            </w:r>
          </w:p>
        </w:tc>
        <w:tc>
          <w:tcPr>
            <w:tcW w:w="413" w:type="dxa"/>
            <w:tcBorders/>
            <w:vAlign w:val="bottom"/>
          </w:tcPr>
          <w:p>
            <w:pPr>
              <w:pStyle w:val="TableContents"/>
              <w:bidi w:val="0"/>
              <w:spacing w:before="0" w:after="283"/>
              <w:jc w:val="left"/>
              <w:rPr/>
            </w:pPr>
            <w:r>
              <w:rPr/>
              <w:t>  </w:t>
            </w:r>
          </w:p>
        </w:tc>
        <w:tc>
          <w:tcPr>
            <w:tcW w:w="8223" w:type="dxa"/>
            <w:gridSpan w:val="3"/>
            <w:tcBorders/>
          </w:tcPr>
          <w:p>
            <w:pPr>
              <w:pStyle w:val="TableContents"/>
              <w:bidi w:val="0"/>
              <w:spacing w:before="0" w:after="283"/>
              <w:jc w:val="left"/>
              <w:rPr/>
            </w:pPr>
            <w:hyperlink w:anchor="d190286dex991.htm">
              <w:r>
                <w:rPr>
                  <w:rStyle w:val="InternetLink"/>
                </w:rPr>
                <w:t xml:space="preserve">Announcement: Grant of Restricted Share Units </w:t>
              </w:r>
            </w:hyperlink>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7"/>
        <w:gridCol w:w="60"/>
        <w:gridCol w:w="3625"/>
      </w:tblGrid>
      <w:tr>
        <w:trPr/>
        <w:tc>
          <w:tcPr>
            <w:tcW w:w="39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XPENG INC.</w:t>
            </w:r>
          </w:p>
        </w:tc>
      </w:tr>
      <w:tr>
        <w:trPr>
          <w:trHeight w:val="240" w:hRule="atLeast"/>
        </w:trPr>
        <w:tc>
          <w:tcPr>
            <w:tcW w:w="397" w:type="dxa"/>
            <w:tcBorders/>
            <w:vAlign w:val="center"/>
          </w:tcPr>
          <w:p>
            <w:pPr>
              <w:pStyle w:val="TableContents"/>
              <w:bidi w:val="0"/>
              <w:spacing w:before="0" w:after="283"/>
              <w:jc w:val="left"/>
              <w:rPr>
                <w:sz w:val="4"/>
                <w:szCs w:val="4"/>
              </w:rPr>
            </w:pPr>
            <w:r>
              <w:rPr>
                <w:sz w:val="4"/>
                <w:szCs w:val="4"/>
              </w:rPr>
            </w:r>
          </w:p>
        </w:tc>
        <w:tc>
          <w:tcPr>
            <w:tcW w:w="3685" w:type="dxa"/>
            <w:gridSpan w:val="2"/>
            <w:tcBorders/>
            <w:vAlign w:val="center"/>
          </w:tcPr>
          <w:p>
            <w:pPr>
              <w:pStyle w:val="TableContents"/>
              <w:bidi w:val="0"/>
              <w:spacing w:before="0" w:after="283"/>
              <w:jc w:val="left"/>
              <w:rPr>
                <w:sz w:val="4"/>
                <w:szCs w:val="4"/>
              </w:rPr>
            </w:pPr>
            <w:r>
              <w:rPr>
                <w:sz w:val="4"/>
                <w:szCs w:val="4"/>
              </w:rPr>
            </w:r>
          </w:p>
        </w:tc>
      </w:tr>
      <w:tr>
        <w:trPr/>
        <w:tc>
          <w:tcPr>
            <w:tcW w:w="397"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5" w:type="dxa"/>
            <w:tcBorders>
              <w:bottom w:val="single" w:sz="2" w:space="0" w:color="000000"/>
            </w:tcBorders>
            <w:tcMar>
              <w:bottom w:w="28" w:type="dxa"/>
            </w:tcMar>
          </w:tcPr>
          <w:p>
            <w:pPr>
              <w:pStyle w:val="TableContents"/>
              <w:bidi w:val="0"/>
              <w:spacing w:before="0" w:after="283"/>
              <w:jc w:val="left"/>
              <w:rPr/>
            </w:pPr>
            <w:r>
              <w:rPr/>
              <w:t>/s/ Xiaopeng He</w:t>
            </w:r>
          </w:p>
        </w:tc>
      </w:tr>
      <w:tr>
        <w:trPr/>
        <w:tc>
          <w:tcPr>
            <w:tcW w:w="4082" w:type="dxa"/>
            <w:gridSpan w:val="3"/>
            <w:tcBorders/>
            <w:vAlign w:val="bottom"/>
          </w:tcPr>
          <w:p>
            <w:pPr>
              <w:pStyle w:val="TableContents"/>
              <w:bidi w:val="0"/>
              <w:spacing w:before="0" w:after="283"/>
              <w:jc w:val="left"/>
              <w:rPr/>
            </w:pPr>
            <w:r>
              <w:rPr/>
              <w:t>Name: Xiaopeng He</w:t>
            </w:r>
          </w:p>
        </w:tc>
      </w:tr>
      <w:tr>
        <w:trPr/>
        <w:tc>
          <w:tcPr>
            <w:tcW w:w="4082" w:type="dxa"/>
            <w:gridSpan w:val="3"/>
            <w:tcBorders/>
            <w:vAlign w:val="bottom"/>
          </w:tcPr>
          <w:p>
            <w:pPr>
              <w:pStyle w:val="TableContents"/>
              <w:bidi w:val="0"/>
              <w:spacing w:before="0" w:after="283"/>
              <w:jc w:val="left"/>
              <w:rPr/>
            </w:pPr>
            <w:r>
              <w:rPr/>
              <w:t>Title: Chairman and Chief Executive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October 16, 2026 </w:t>
      </w:r>
    </w:p>
    <w:p>
      <w:pPr>
        <w:pStyle w:val="TextBody"/>
        <w:bidi w:val="0"/>
        <w:spacing w:before="0" w:after="0"/>
        <w:jc w:val="right"/>
        <w:rPr>
          <w:rFonts w:ascii="Times New Roman" w:hAnsi="Times New Roman"/>
          <w:b/>
          <w:sz w:val="20"/>
        </w:rPr>
      </w:pPr>
      <w:bookmarkStart w:id="2" w:name="d190286dex991.htm"/>
      <w:bookmarkStart w:id="3" w:name="ksd190286dex991"/>
      <w:bookmarkEnd w:id="2"/>
      <w:bookmarkEnd w:id="3"/>
      <w:r>
        <w:rPr>
          <w:rFonts w:ascii="Times New Roman" w:hAnsi="Times New Roman"/>
          <w:b/>
          <w:sz w:val="20"/>
        </w:rPr>
        <w:t xml:space="preserve">Exhibit 99.1 </w:t>
      </w:r>
      <w:r>
        <w:br w:type="page"/>
      </w:r>
    </w:p>
    <w:p>
      <w:pPr>
        <w:pStyle w:val="TextBody"/>
        <w:bidi w:val="0"/>
        <w:spacing w:before="240" w:after="0"/>
        <w:jc w:val="left"/>
        <w:rPr>
          <w:rFonts w:ascii="Times New Roman" w:hAnsi="Times New Roman"/>
          <w:i/>
          <w:sz w:val="20"/>
        </w:rPr>
      </w:pPr>
      <w:r>
        <w:rPr>
          <w:rFonts w:ascii="Times New Roman" w:hAnsi="Times New Roman"/>
          <w:i/>
          <w:sz w:val="20"/>
        </w:rPr>
        <w:t xml:space="preserve">Hong Kong Exchanges and Clearing Limited and The Stock Exchange of Hong Kong Limited take no responsibility for the contents of this announcement, make no representation as to its accuracy or completeness and expressly disclaim any liability whatsoever for any loss howsoever arising from or in reliance upon the whole or any part of the contents of this announcement. </w:t>
      </w:r>
    </w:p>
    <w:p>
      <w:pPr>
        <w:pStyle w:val="TextBody"/>
        <w:bidi w:val="0"/>
        <w:spacing w:before="0" w:after="0"/>
        <w:jc w:val="left"/>
        <w:rPr/>
      </w:pPr>
      <w:r>
        <w:rPr/>
        <w:t> </w:t>
      </w:r>
    </w:p>
    <w:p>
      <w:pPr>
        <w:pStyle w:val="TextBody"/>
        <w:bidi w:val="0"/>
        <w:spacing w:before="0" w:after="0"/>
        <w:jc w:val="center"/>
        <w:rPr/>
      </w:pPr>
      <w:r>
        <w:rPr/>
        <w:drawing>
          <wp:inline distT="0" distB="0" distL="0" distR="0">
            <wp:extent cx="1200150" cy="6477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00150" cy="64770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XPeng Inc. </w:t>
      </w:r>
    </w:p>
    <w:p>
      <w:pPr>
        <w:pStyle w:val="TextBody"/>
        <w:bidi w:val="0"/>
        <w:spacing w:before="0" w:after="0"/>
        <w:jc w:val="center"/>
        <w:rPr/>
      </w:pPr>
      <w:r>
        <w:rPr>
          <w:rFonts w:eastAsia="PMingLiU"/>
          <w:b/>
          <w:sz w:val="18"/>
        </w:rPr>
        <w:t>小鵬集團</w:t>
      </w:r>
      <w:r>
        <w:rPr>
          <w:rFonts w:ascii="Times New Roman" w:hAnsi="Times New Roman"/>
          <w:b/>
          <w:sz w:val="20"/>
        </w:rPr>
        <w:t xml:space="preserve">* </w:t>
      </w:r>
    </w:p>
    <w:p>
      <w:pPr>
        <w:pStyle w:val="TextBody"/>
        <w:bidi w:val="0"/>
        <w:spacing w:before="0" w:after="0"/>
        <w:jc w:val="center"/>
        <w:rPr>
          <w:rFonts w:ascii="Times New Roman" w:hAnsi="Times New Roman"/>
          <w:i/>
          <w:sz w:val="20"/>
        </w:rPr>
      </w:pPr>
      <w:r>
        <w:rPr>
          <w:rFonts w:ascii="Times New Roman" w:hAnsi="Times New Roman"/>
          <w:i/>
          <w:sz w:val="20"/>
        </w:rPr>
        <w:t xml:space="preserve">(A company controlled through weighted voting rights and incorporated in the Cayman Islands with limited liability) </w:t>
      </w:r>
    </w:p>
    <w:p>
      <w:pPr>
        <w:pStyle w:val="TextBody"/>
        <w:bidi w:val="0"/>
        <w:spacing w:before="0" w:after="0"/>
        <w:jc w:val="center"/>
        <w:rPr/>
      </w:pPr>
      <w:r>
        <w:rPr>
          <w:rFonts w:eastAsia="PMingLiU"/>
          <w:b/>
          <w:sz w:val="18"/>
        </w:rPr>
        <w:t>（</w:t>
      </w:r>
      <w:r>
        <w:rPr>
          <w:rFonts w:ascii="Times New Roman" w:hAnsi="Times New Roman"/>
          <w:b/>
          <w:sz w:val="20"/>
        </w:rPr>
        <w:t>Stock Code: 9868</w:t>
      </w:r>
      <w:r>
        <w:rPr>
          <w:rFonts w:eastAsia="PMingLiU"/>
          <w:b/>
          <w:sz w:val="18"/>
        </w:rPr>
        <w:t>）</w:t>
      </w:r>
      <w:r>
        <w:rPr>
          <w:rFonts w:eastAsia="Times New Roman"/>
          <w:b/>
          <w:sz w:val="20"/>
        </w:rPr>
        <w:t xml:space="preserve"> </w:t>
      </w:r>
    </w:p>
    <w:p>
      <w:pPr>
        <w:pStyle w:val="TextBody"/>
        <w:bidi w:val="0"/>
        <w:spacing w:before="120" w:after="0"/>
        <w:jc w:val="center"/>
        <w:rPr>
          <w:rFonts w:ascii="Times New Roman" w:hAnsi="Times New Roman"/>
          <w:b/>
          <w:sz w:val="20"/>
        </w:rPr>
      </w:pPr>
      <w:r>
        <w:rPr>
          <w:rFonts w:ascii="Times New Roman" w:hAnsi="Times New Roman"/>
          <w:b/>
          <w:sz w:val="20"/>
        </w:rPr>
        <w:t xml:space="preserve">GRANT OF RESTRICTED SHARE UNITS </w:t>
      </w:r>
    </w:p>
    <w:p>
      <w:pPr>
        <w:pStyle w:val="TextBody"/>
        <w:bidi w:val="0"/>
        <w:spacing w:before="240" w:after="0"/>
        <w:jc w:val="left"/>
        <w:rPr>
          <w:rFonts w:ascii="Times New Roman" w:hAnsi="Times New Roman"/>
          <w:sz w:val="20"/>
        </w:rPr>
      </w:pPr>
      <w:r>
        <w:rPr>
          <w:rFonts w:ascii="Times New Roman" w:hAnsi="Times New Roman"/>
          <w:sz w:val="20"/>
        </w:rPr>
        <w:t>The Board announces that, on October 16, 2026, the Company granted an aggregate of 4,591,246 RSUs (representing equal number of underlying Class A ordinary shares) to 75 Employees (the “</w:t>
      </w:r>
      <w:r>
        <w:rPr>
          <w:rFonts w:ascii="Times New Roman" w:hAnsi="Times New Roman"/>
          <w:b/>
          <w:sz w:val="20"/>
        </w:rPr>
        <w:t>RSU Grants</w:t>
      </w:r>
      <w:r>
        <w:rPr>
          <w:rFonts w:ascii="Times New Roman" w:hAnsi="Times New Roman"/>
          <w:sz w:val="20"/>
        </w:rPr>
        <w:t xml:space="preserve">”) pursuant to the 2025 Share Incentive Scheme, subject to the acceptance by the Grantees. None of the RSU Grants will be subject to the Shareholders’ approval, and none of the Grantees is a Director, chief executive or substantial shareholder of the Company, or an associate of any of them. </w:t>
      </w:r>
    </w:p>
    <w:p>
      <w:pPr>
        <w:pStyle w:val="TextBody"/>
        <w:bidi w:val="0"/>
        <w:spacing w:before="240" w:after="0"/>
        <w:jc w:val="left"/>
        <w:rPr>
          <w:rFonts w:ascii="Times New Roman" w:hAnsi="Times New Roman"/>
          <w:sz w:val="20"/>
        </w:rPr>
      </w:pPr>
      <w:r>
        <w:rPr>
          <w:rFonts w:ascii="Times New Roman" w:hAnsi="Times New Roman"/>
          <w:sz w:val="20"/>
        </w:rPr>
        <w:t xml:space="preserve">The RSU Grants are subject to the terms and conditions of the 2025 Share Incentive Scheme and the award agreements entered into between the Company and each of the Grantees. The principal terms of the 2025 Share Incentive Scheme were set out in the proxy statement / circular of the Company dated May 12, 2025. </w:t>
      </w:r>
    </w:p>
    <w:p>
      <w:pPr>
        <w:pStyle w:val="TextBody"/>
        <w:bidi w:val="0"/>
        <w:spacing w:before="240" w:after="0"/>
        <w:jc w:val="left"/>
        <w:rPr>
          <w:rFonts w:ascii="Times New Roman" w:hAnsi="Times New Roman"/>
          <w:sz w:val="20"/>
        </w:rPr>
      </w:pPr>
      <w:r>
        <w:rPr>
          <w:rFonts w:ascii="Times New Roman" w:hAnsi="Times New Roman"/>
          <w:sz w:val="20"/>
        </w:rPr>
        <w:t xml:space="preserve">The Hong Kong Stock Exchange had granted approval for the listing of, and permission to deal in, the new Class A ordinary shares underlying the Awards which may be granted pursuant to the 2025 Share Incentive Scheme. The issue of 4,591,246 new Class A ordinary shares to satisfy such RSU Grants under the 2025 Share Incentive Scheme will not be subject to the Shareholders’ approval and such new Class A ordinary shares (or represented by corresponding ADSs as appropriate) will be allotted and issued to the Grantees, subject to the satisfaction of the vesting conditions specified in the award agreements. </w:t>
      </w:r>
    </w:p>
    <w:p>
      <w:pPr>
        <w:pStyle w:val="TextBody"/>
        <w:bidi w:val="0"/>
        <w:spacing w:before="240" w:after="0"/>
        <w:jc w:val="left"/>
        <w:rPr>
          <w:rFonts w:ascii="Times New Roman" w:hAnsi="Times New Roman"/>
          <w:sz w:val="20"/>
        </w:rPr>
      </w:pPr>
      <w:r>
        <w:rPr>
          <w:rFonts w:ascii="Times New Roman" w:hAnsi="Times New Roman"/>
          <w:sz w:val="20"/>
        </w:rPr>
        <w:t xml:space="preserve">The RSU Grants would not result in the Options and Awards granted and to be granted to each individual Grantee in the 12-month period up to and including the date of such grant in aggregate to exceed 1% of the Shares in issue. </w:t>
      </w:r>
    </w:p>
    <w:p>
      <w:pPr>
        <w:pStyle w:val="TextBody"/>
        <w:bidi w:val="0"/>
        <w:spacing w:before="240" w:after="0"/>
        <w:jc w:val="left"/>
        <w:rPr>
          <w:rFonts w:ascii="Times New Roman" w:hAnsi="Times New Roman"/>
          <w:sz w:val="20"/>
        </w:rPr>
      </w:pPr>
      <w:r>
        <w:rPr>
          <w:rFonts w:ascii="Times New Roman" w:hAnsi="Times New Roman"/>
          <w:sz w:val="20"/>
        </w:rPr>
        <w:t xml:space="preserve">Details of the RSUs granted are set out below: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929"/>
        <w:gridCol w:w="122"/>
        <w:gridCol w:w="7154"/>
      </w:tblGrid>
      <w:tr>
        <w:trPr/>
        <w:tc>
          <w:tcPr>
            <w:tcW w:w="2929"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7154"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2929" w:type="dxa"/>
            <w:tcBorders/>
            <w:vAlign w:val="center"/>
          </w:tcPr>
          <w:p>
            <w:pPr>
              <w:pStyle w:val="TableContents"/>
              <w:bidi w:val="0"/>
              <w:spacing w:before="0" w:after="283"/>
              <w:jc w:val="left"/>
              <w:rPr>
                <w:sz w:val="4"/>
                <w:szCs w:val="4"/>
              </w:rPr>
            </w:pPr>
            <w:r>
              <w:rPr>
                <w:sz w:val="4"/>
                <w:szCs w:val="4"/>
              </w:rPr>
            </w:r>
          </w:p>
        </w:tc>
        <w:tc>
          <w:tcPr>
            <w:tcW w:w="7276" w:type="dxa"/>
            <w:gridSpan w:val="2"/>
            <w:tcBorders/>
            <w:vAlign w:val="center"/>
          </w:tcPr>
          <w:p>
            <w:pPr>
              <w:pStyle w:val="TableContents"/>
              <w:bidi w:val="0"/>
              <w:spacing w:before="0" w:after="283"/>
              <w:jc w:val="left"/>
              <w:rPr>
                <w:sz w:val="4"/>
                <w:szCs w:val="4"/>
              </w:rPr>
            </w:pPr>
            <w:r>
              <w:rPr>
                <w:sz w:val="4"/>
                <w:szCs w:val="4"/>
              </w:rPr>
            </w:r>
          </w:p>
        </w:tc>
      </w:tr>
      <w:tr>
        <w:trPr/>
        <w:tc>
          <w:tcPr>
            <w:tcW w:w="2929" w:type="dxa"/>
            <w:tcBorders/>
          </w:tcPr>
          <w:p>
            <w:pPr>
              <w:pStyle w:val="TableContents"/>
              <w:bidi w:val="0"/>
              <w:spacing w:before="0" w:after="283"/>
              <w:jc w:val="left"/>
              <w:rPr>
                <w:b/>
              </w:rPr>
            </w:pPr>
            <w:r>
              <w:rPr>
                <w:b/>
              </w:rPr>
              <w:t>Date of grant</w:t>
            </w:r>
          </w:p>
        </w:tc>
        <w:tc>
          <w:tcPr>
            <w:tcW w:w="122" w:type="dxa"/>
            <w:tcBorders/>
            <w:vAlign w:val="bottom"/>
          </w:tcPr>
          <w:p>
            <w:pPr>
              <w:pStyle w:val="TableContents"/>
              <w:bidi w:val="0"/>
              <w:spacing w:before="0" w:after="283"/>
              <w:jc w:val="left"/>
              <w:rPr/>
            </w:pPr>
            <w:r>
              <w:rPr/>
              <w:t>  </w:t>
            </w:r>
          </w:p>
        </w:tc>
        <w:tc>
          <w:tcPr>
            <w:tcW w:w="7154" w:type="dxa"/>
            <w:tcBorders/>
          </w:tcPr>
          <w:p>
            <w:pPr>
              <w:pStyle w:val="TableContents"/>
              <w:bidi w:val="0"/>
              <w:spacing w:before="0" w:after="283"/>
              <w:jc w:val="left"/>
              <w:rPr/>
            </w:pPr>
            <w:r>
              <w:rPr/>
              <w:t>October 16, 2026</w:t>
            </w:r>
          </w:p>
        </w:tc>
      </w:tr>
      <w:tr>
        <w:trPr>
          <w:trHeight w:val="120" w:hRule="atLeast"/>
        </w:trPr>
        <w:tc>
          <w:tcPr>
            <w:tcW w:w="2929" w:type="dxa"/>
            <w:tcBorders/>
            <w:vAlign w:val="center"/>
          </w:tcPr>
          <w:p>
            <w:pPr>
              <w:pStyle w:val="TableContents"/>
              <w:bidi w:val="0"/>
              <w:spacing w:before="0" w:after="283"/>
              <w:jc w:val="left"/>
              <w:rPr>
                <w:sz w:val="4"/>
                <w:szCs w:val="4"/>
              </w:rPr>
            </w:pPr>
            <w:r>
              <w:rPr>
                <w:sz w:val="4"/>
                <w:szCs w:val="4"/>
              </w:rPr>
            </w:r>
          </w:p>
        </w:tc>
        <w:tc>
          <w:tcPr>
            <w:tcW w:w="7276" w:type="dxa"/>
            <w:gridSpan w:val="2"/>
            <w:tcBorders/>
            <w:vAlign w:val="center"/>
          </w:tcPr>
          <w:p>
            <w:pPr>
              <w:pStyle w:val="TableContents"/>
              <w:bidi w:val="0"/>
              <w:spacing w:before="0" w:after="283"/>
              <w:jc w:val="left"/>
              <w:rPr>
                <w:sz w:val="4"/>
                <w:szCs w:val="4"/>
              </w:rPr>
            </w:pPr>
            <w:r>
              <w:rPr>
                <w:sz w:val="4"/>
                <w:szCs w:val="4"/>
              </w:rPr>
            </w:r>
          </w:p>
        </w:tc>
      </w:tr>
      <w:tr>
        <w:trPr/>
        <w:tc>
          <w:tcPr>
            <w:tcW w:w="2929" w:type="dxa"/>
            <w:tcBorders/>
          </w:tcPr>
          <w:p>
            <w:pPr>
              <w:pStyle w:val="TableContents"/>
              <w:bidi w:val="0"/>
              <w:spacing w:before="0" w:after="283"/>
              <w:jc w:val="left"/>
              <w:rPr>
                <w:b/>
              </w:rPr>
            </w:pPr>
            <w:r>
              <w:rPr>
                <w:b/>
              </w:rPr>
              <w:t>Total number of RSUs granted</w:t>
            </w:r>
          </w:p>
        </w:tc>
        <w:tc>
          <w:tcPr>
            <w:tcW w:w="122" w:type="dxa"/>
            <w:tcBorders/>
            <w:vAlign w:val="bottom"/>
          </w:tcPr>
          <w:p>
            <w:pPr>
              <w:pStyle w:val="TableContents"/>
              <w:bidi w:val="0"/>
              <w:spacing w:before="0" w:after="283"/>
              <w:jc w:val="left"/>
              <w:rPr/>
            </w:pPr>
            <w:r>
              <w:rPr/>
              <w:t>  </w:t>
            </w:r>
          </w:p>
        </w:tc>
        <w:tc>
          <w:tcPr>
            <w:tcW w:w="7154" w:type="dxa"/>
            <w:tcBorders/>
          </w:tcPr>
          <w:p>
            <w:pPr>
              <w:pStyle w:val="TableContents"/>
              <w:bidi w:val="0"/>
              <w:spacing w:before="0" w:after="283"/>
              <w:jc w:val="left"/>
              <w:rPr/>
            </w:pPr>
            <w:r>
              <w:rPr/>
              <w:t>4,591,246</w:t>
            </w:r>
          </w:p>
        </w:tc>
      </w:tr>
      <w:tr>
        <w:trPr>
          <w:trHeight w:val="120" w:hRule="atLeast"/>
        </w:trPr>
        <w:tc>
          <w:tcPr>
            <w:tcW w:w="2929" w:type="dxa"/>
            <w:tcBorders/>
            <w:vAlign w:val="center"/>
          </w:tcPr>
          <w:p>
            <w:pPr>
              <w:pStyle w:val="TableContents"/>
              <w:bidi w:val="0"/>
              <w:spacing w:before="0" w:after="283"/>
              <w:jc w:val="left"/>
              <w:rPr>
                <w:sz w:val="4"/>
                <w:szCs w:val="4"/>
              </w:rPr>
            </w:pPr>
            <w:r>
              <w:rPr>
                <w:sz w:val="4"/>
                <w:szCs w:val="4"/>
              </w:rPr>
            </w:r>
          </w:p>
        </w:tc>
        <w:tc>
          <w:tcPr>
            <w:tcW w:w="7276" w:type="dxa"/>
            <w:gridSpan w:val="2"/>
            <w:tcBorders/>
            <w:vAlign w:val="center"/>
          </w:tcPr>
          <w:p>
            <w:pPr>
              <w:pStyle w:val="TableContents"/>
              <w:bidi w:val="0"/>
              <w:spacing w:before="0" w:after="283"/>
              <w:jc w:val="left"/>
              <w:rPr>
                <w:sz w:val="4"/>
                <w:szCs w:val="4"/>
              </w:rPr>
            </w:pPr>
            <w:r>
              <w:rPr>
                <w:sz w:val="4"/>
                <w:szCs w:val="4"/>
              </w:rPr>
            </w:r>
          </w:p>
        </w:tc>
      </w:tr>
      <w:tr>
        <w:trPr/>
        <w:tc>
          <w:tcPr>
            <w:tcW w:w="2929" w:type="dxa"/>
            <w:tcBorders/>
          </w:tcPr>
          <w:p>
            <w:pPr>
              <w:pStyle w:val="TableContents"/>
              <w:bidi w:val="0"/>
              <w:spacing w:before="0" w:after="283"/>
              <w:jc w:val="left"/>
              <w:rPr>
                <w:b/>
              </w:rPr>
            </w:pPr>
            <w:r>
              <w:rPr>
                <w:b/>
              </w:rPr>
              <w:t>Purchase price of RSUs granted</w:t>
            </w:r>
          </w:p>
        </w:tc>
        <w:tc>
          <w:tcPr>
            <w:tcW w:w="122" w:type="dxa"/>
            <w:tcBorders/>
            <w:vAlign w:val="bottom"/>
          </w:tcPr>
          <w:p>
            <w:pPr>
              <w:pStyle w:val="TableContents"/>
              <w:bidi w:val="0"/>
              <w:spacing w:before="0" w:after="283"/>
              <w:jc w:val="left"/>
              <w:rPr/>
            </w:pPr>
            <w:r>
              <w:rPr/>
              <w:t>  </w:t>
            </w:r>
          </w:p>
        </w:tc>
        <w:tc>
          <w:tcPr>
            <w:tcW w:w="7154" w:type="dxa"/>
            <w:tcBorders/>
          </w:tcPr>
          <w:p>
            <w:pPr>
              <w:pStyle w:val="TableContents"/>
              <w:bidi w:val="0"/>
              <w:spacing w:before="0" w:after="283"/>
              <w:jc w:val="left"/>
              <w:rPr/>
            </w:pPr>
            <w:r>
              <w:rPr/>
              <w:t>Nil</w:t>
            </w:r>
          </w:p>
        </w:tc>
      </w:tr>
      <w:tr>
        <w:trPr>
          <w:trHeight w:val="120" w:hRule="atLeast"/>
        </w:trPr>
        <w:tc>
          <w:tcPr>
            <w:tcW w:w="2929" w:type="dxa"/>
            <w:tcBorders/>
            <w:vAlign w:val="center"/>
          </w:tcPr>
          <w:p>
            <w:pPr>
              <w:pStyle w:val="TableContents"/>
              <w:bidi w:val="0"/>
              <w:spacing w:before="0" w:after="283"/>
              <w:jc w:val="left"/>
              <w:rPr>
                <w:sz w:val="4"/>
                <w:szCs w:val="4"/>
              </w:rPr>
            </w:pPr>
            <w:r>
              <w:rPr>
                <w:sz w:val="4"/>
                <w:szCs w:val="4"/>
              </w:rPr>
            </w:r>
          </w:p>
        </w:tc>
        <w:tc>
          <w:tcPr>
            <w:tcW w:w="7276" w:type="dxa"/>
            <w:gridSpan w:val="2"/>
            <w:tcBorders/>
            <w:vAlign w:val="center"/>
          </w:tcPr>
          <w:p>
            <w:pPr>
              <w:pStyle w:val="TableContents"/>
              <w:bidi w:val="0"/>
              <w:spacing w:before="0" w:after="283"/>
              <w:jc w:val="left"/>
              <w:rPr>
                <w:sz w:val="4"/>
                <w:szCs w:val="4"/>
              </w:rPr>
            </w:pPr>
            <w:r>
              <w:rPr>
                <w:sz w:val="4"/>
                <w:szCs w:val="4"/>
              </w:rPr>
            </w:r>
          </w:p>
        </w:tc>
      </w:tr>
      <w:tr>
        <w:trPr/>
        <w:tc>
          <w:tcPr>
            <w:tcW w:w="2929" w:type="dxa"/>
            <w:tcBorders/>
          </w:tcPr>
          <w:p>
            <w:pPr>
              <w:pStyle w:val="TableContents"/>
              <w:bidi w:val="0"/>
              <w:spacing w:before="0" w:after="283"/>
              <w:jc w:val="left"/>
              <w:rPr>
                <w:b/>
              </w:rPr>
            </w:pPr>
            <w:r>
              <w:rPr>
                <w:b/>
              </w:rPr>
              <w:t>Closing price of the Class A ordinary shares on the date of grant</w:t>
            </w:r>
          </w:p>
        </w:tc>
        <w:tc>
          <w:tcPr>
            <w:tcW w:w="122" w:type="dxa"/>
            <w:tcBorders/>
            <w:vAlign w:val="bottom"/>
          </w:tcPr>
          <w:p>
            <w:pPr>
              <w:pStyle w:val="TableContents"/>
              <w:bidi w:val="0"/>
              <w:spacing w:before="0" w:after="283"/>
              <w:jc w:val="left"/>
              <w:rPr/>
            </w:pPr>
            <w:r>
              <w:rPr/>
              <w:t>  </w:t>
            </w:r>
          </w:p>
        </w:tc>
        <w:tc>
          <w:tcPr>
            <w:tcW w:w="7154" w:type="dxa"/>
            <w:tcBorders/>
          </w:tcPr>
          <w:p>
            <w:pPr>
              <w:pStyle w:val="TableContents"/>
              <w:bidi w:val="0"/>
              <w:spacing w:before="0" w:after="283"/>
              <w:jc w:val="left"/>
              <w:rPr/>
            </w:pPr>
            <w:r>
              <w:rPr/>
              <w:t>HK$37.460 per Share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2959"/>
        <w:gridCol w:w="120"/>
        <w:gridCol w:w="7126"/>
      </w:tblGrid>
      <w:tr>
        <w:trPr/>
        <w:tc>
          <w:tcPr>
            <w:tcW w:w="2959"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126"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2959" w:type="dxa"/>
            <w:tcBorders/>
            <w:vAlign w:val="center"/>
          </w:tcPr>
          <w:p>
            <w:pPr>
              <w:pStyle w:val="TableContents"/>
              <w:bidi w:val="0"/>
              <w:spacing w:before="0" w:after="283"/>
              <w:jc w:val="left"/>
              <w:rPr>
                <w:sz w:val="4"/>
                <w:szCs w:val="4"/>
              </w:rPr>
            </w:pPr>
            <w:r>
              <w:rPr>
                <w:sz w:val="4"/>
                <w:szCs w:val="4"/>
              </w:rPr>
            </w:r>
          </w:p>
        </w:tc>
        <w:tc>
          <w:tcPr>
            <w:tcW w:w="7246" w:type="dxa"/>
            <w:gridSpan w:val="2"/>
            <w:tcBorders/>
            <w:vAlign w:val="center"/>
          </w:tcPr>
          <w:p>
            <w:pPr>
              <w:pStyle w:val="TableContents"/>
              <w:bidi w:val="0"/>
              <w:spacing w:before="0" w:after="283"/>
              <w:jc w:val="left"/>
              <w:rPr>
                <w:sz w:val="4"/>
                <w:szCs w:val="4"/>
              </w:rPr>
            </w:pPr>
            <w:r>
              <w:rPr>
                <w:sz w:val="4"/>
                <w:szCs w:val="4"/>
              </w:rPr>
            </w:r>
          </w:p>
        </w:tc>
      </w:tr>
      <w:tr>
        <w:trPr/>
        <w:tc>
          <w:tcPr>
            <w:tcW w:w="2959" w:type="dxa"/>
            <w:tcBorders/>
          </w:tcPr>
          <w:p>
            <w:pPr>
              <w:pStyle w:val="TableContents"/>
              <w:bidi w:val="0"/>
              <w:spacing w:before="0" w:after="283"/>
              <w:jc w:val="left"/>
              <w:rPr>
                <w:b/>
              </w:rPr>
            </w:pPr>
            <w:r>
              <w:rPr>
                <w:b/>
              </w:rPr>
              <w:t>Vesting condition and periods</w:t>
            </w:r>
          </w:p>
        </w:tc>
        <w:tc>
          <w:tcPr>
            <w:tcW w:w="120" w:type="dxa"/>
            <w:tcBorders/>
            <w:vAlign w:val="bottom"/>
          </w:tcPr>
          <w:p>
            <w:pPr>
              <w:pStyle w:val="TableContents"/>
              <w:bidi w:val="0"/>
              <w:spacing w:before="0" w:after="283"/>
              <w:jc w:val="left"/>
              <w:rPr/>
            </w:pPr>
            <w:r>
              <w:rPr/>
              <w:t>  </w:t>
            </w:r>
          </w:p>
        </w:tc>
        <w:tc>
          <w:tcPr>
            <w:tcW w:w="7126" w:type="dxa"/>
            <w:tcBorders/>
          </w:tcPr>
          <w:p>
            <w:pPr>
              <w:pStyle w:val="TableContents"/>
              <w:bidi w:val="0"/>
              <w:spacing w:before="0" w:after="0"/>
              <w:jc w:val="left"/>
              <w:rPr>
                <w:rFonts w:ascii="Times New Roman" w:hAnsi="Times New Roman"/>
                <w:sz w:val="20"/>
              </w:rPr>
            </w:pPr>
            <w:r>
              <w:rPr>
                <w:rFonts w:ascii="Times New Roman" w:hAnsi="Times New Roman"/>
                <w:sz w:val="20"/>
              </w:rPr>
              <w:t>The RSUs shall be subject to a service-based vesting condition.</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Subject to the terms of the RSU Grants and the 2025 Share Incentive Scheme, the RSUs granted to the Grantees shall vest in accordance with the following schedule:</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(i) approximately 17.5% of the RSUs granted under the RSU Grants shall vest in equal portions of 25% on October 1, 2027, October 1, 2028, October 1, 2029 and October 1, 2030, respectively;</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(ii)  approximately 0.5% of the RSUs granted under the RSU Grants shall vest in equal portions of 25% on January 1, 2027, January 1, 2028, January 1, 2029 and January 1, 2030, respectively; and</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(iii)  for 82% of the RSUs granted under the RSU Grants, 25% of which shall vest on October 1, 2027, and the remaining 75% shall vest in equal portions of 6.25% on January 1, 2028, April 1, 2028, July 1, 2028, October 1, 2028, January 1, 2029, April 1, 2029, July 1, 2029, October 1, 2029, January 1, 2030, April 1, 2030, July 1, 2030, and October 1, 2030, respectively.</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The vesting period for part of the RSUs granted to the Grantees is shorter than 12 months in the following circumstances as permitted under the terms of the 2025 Share Incentive Scheme: (i) grants of Awards that are made in batches during a year for administrative and compliance reasons, which include Awards that should have been granted earlier if not for such administrative or compliance reasons but had to wait for a subsequent batch. In such case, the vesting period may be shorter to reflect the time from which the Awards would have been granted; (ii) grants of Awards with a mixed or accelerated vesting schedule such as where the Awards may vest evenly over a period of 12 months; or (iii) grants of Awards with a total vesting and holding period of more than 12 months.</w:t>
            </w:r>
          </w:p>
        </w:tc>
      </w:tr>
      <w:tr>
        <w:trPr>
          <w:trHeight w:val="120" w:hRule="atLeast"/>
        </w:trPr>
        <w:tc>
          <w:tcPr>
            <w:tcW w:w="2959" w:type="dxa"/>
            <w:tcBorders/>
            <w:vAlign w:val="center"/>
          </w:tcPr>
          <w:p>
            <w:pPr>
              <w:pStyle w:val="TableContents"/>
              <w:bidi w:val="0"/>
              <w:spacing w:before="0" w:after="283"/>
              <w:jc w:val="left"/>
              <w:rPr>
                <w:sz w:val="4"/>
                <w:szCs w:val="4"/>
              </w:rPr>
            </w:pPr>
            <w:r>
              <w:rPr>
                <w:sz w:val="4"/>
                <w:szCs w:val="4"/>
              </w:rPr>
            </w:r>
          </w:p>
        </w:tc>
        <w:tc>
          <w:tcPr>
            <w:tcW w:w="7246" w:type="dxa"/>
            <w:gridSpan w:val="2"/>
            <w:tcBorders/>
            <w:vAlign w:val="center"/>
          </w:tcPr>
          <w:p>
            <w:pPr>
              <w:pStyle w:val="TableContents"/>
              <w:bidi w:val="0"/>
              <w:spacing w:before="0" w:after="283"/>
              <w:jc w:val="left"/>
              <w:rPr>
                <w:sz w:val="4"/>
                <w:szCs w:val="4"/>
              </w:rPr>
            </w:pPr>
            <w:r>
              <w:rPr>
                <w:sz w:val="4"/>
                <w:szCs w:val="4"/>
              </w:rPr>
            </w:r>
          </w:p>
        </w:tc>
      </w:tr>
      <w:tr>
        <w:trPr/>
        <w:tc>
          <w:tcPr>
            <w:tcW w:w="2959" w:type="dxa"/>
            <w:tcBorders/>
          </w:tcPr>
          <w:p>
            <w:pPr>
              <w:pStyle w:val="TableContents"/>
              <w:bidi w:val="0"/>
              <w:spacing w:before="0" w:after="283"/>
              <w:jc w:val="left"/>
              <w:rPr>
                <w:b/>
              </w:rPr>
            </w:pPr>
            <w:r>
              <w:rPr>
                <w:b/>
              </w:rPr>
              <w:t>Performance targets</w:t>
            </w:r>
          </w:p>
        </w:tc>
        <w:tc>
          <w:tcPr>
            <w:tcW w:w="120" w:type="dxa"/>
            <w:tcBorders/>
            <w:vAlign w:val="bottom"/>
          </w:tcPr>
          <w:p>
            <w:pPr>
              <w:pStyle w:val="TableContents"/>
              <w:bidi w:val="0"/>
              <w:spacing w:before="0" w:after="283"/>
              <w:jc w:val="left"/>
              <w:rPr/>
            </w:pPr>
            <w:r>
              <w:rPr/>
              <w:t>  </w:t>
            </w:r>
          </w:p>
        </w:tc>
        <w:tc>
          <w:tcPr>
            <w:tcW w:w="7126" w:type="dxa"/>
            <w:tcBorders/>
          </w:tcPr>
          <w:p>
            <w:pPr>
              <w:pStyle w:val="TableContents"/>
              <w:bidi w:val="0"/>
              <w:spacing w:before="0" w:after="283"/>
              <w:jc w:val="left"/>
              <w:rPr/>
            </w:pPr>
            <w:r>
              <w:rPr/>
              <w:t>The vesting of the RSUs under the RSU Grants is not subject to any performance targets.</w:t>
            </w:r>
          </w:p>
        </w:tc>
      </w:tr>
      <w:tr>
        <w:trPr>
          <w:trHeight w:val="120" w:hRule="atLeast"/>
        </w:trPr>
        <w:tc>
          <w:tcPr>
            <w:tcW w:w="2959" w:type="dxa"/>
            <w:tcBorders/>
            <w:vAlign w:val="center"/>
          </w:tcPr>
          <w:p>
            <w:pPr>
              <w:pStyle w:val="TableContents"/>
              <w:bidi w:val="0"/>
              <w:spacing w:before="0" w:after="283"/>
              <w:jc w:val="left"/>
              <w:rPr>
                <w:sz w:val="4"/>
                <w:szCs w:val="4"/>
              </w:rPr>
            </w:pPr>
            <w:r>
              <w:rPr>
                <w:sz w:val="4"/>
                <w:szCs w:val="4"/>
              </w:rPr>
            </w:r>
          </w:p>
        </w:tc>
        <w:tc>
          <w:tcPr>
            <w:tcW w:w="7246" w:type="dxa"/>
            <w:gridSpan w:val="2"/>
            <w:tcBorders/>
            <w:vAlign w:val="center"/>
          </w:tcPr>
          <w:p>
            <w:pPr>
              <w:pStyle w:val="TableContents"/>
              <w:bidi w:val="0"/>
              <w:spacing w:before="0" w:after="283"/>
              <w:jc w:val="left"/>
              <w:rPr>
                <w:sz w:val="4"/>
                <w:szCs w:val="4"/>
              </w:rPr>
            </w:pPr>
            <w:r>
              <w:rPr>
                <w:sz w:val="4"/>
                <w:szCs w:val="4"/>
              </w:rPr>
            </w:r>
          </w:p>
        </w:tc>
      </w:tr>
      <w:tr>
        <w:trPr/>
        <w:tc>
          <w:tcPr>
            <w:tcW w:w="2959" w:type="dxa"/>
            <w:tcBorders/>
          </w:tcPr>
          <w:p>
            <w:pPr>
              <w:pStyle w:val="TableContents"/>
              <w:bidi w:val="0"/>
              <w:spacing w:before="0" w:after="283"/>
              <w:jc w:val="left"/>
              <w:rPr>
                <w:b/>
              </w:rPr>
            </w:pPr>
            <w:r>
              <w:rPr>
                <w:b/>
              </w:rPr>
              <w:t>Clawback mechanisms</w:t>
            </w:r>
          </w:p>
        </w:tc>
        <w:tc>
          <w:tcPr>
            <w:tcW w:w="120" w:type="dxa"/>
            <w:tcBorders/>
            <w:vAlign w:val="bottom"/>
          </w:tcPr>
          <w:p>
            <w:pPr>
              <w:pStyle w:val="TableContents"/>
              <w:bidi w:val="0"/>
              <w:spacing w:before="0" w:after="283"/>
              <w:jc w:val="left"/>
              <w:rPr/>
            </w:pPr>
            <w:r>
              <w:rPr/>
              <w:t>  </w:t>
            </w:r>
          </w:p>
        </w:tc>
        <w:tc>
          <w:tcPr>
            <w:tcW w:w="7126" w:type="dxa"/>
            <w:tcBorders/>
          </w:tcPr>
          <w:p>
            <w:pPr>
              <w:pStyle w:val="TableContents"/>
              <w:bidi w:val="0"/>
              <w:spacing w:before="0" w:after="283"/>
              <w:jc w:val="left"/>
              <w:rPr/>
            </w:pPr>
            <w:r>
              <w:rPr/>
              <w:t>Pursuant to the terms of the 2025 Share Incentive Scheme, the Board or its delegate(s) shall have the right to (i) forfeit any unvested RSU granted to a Grantee and (ii) cause any vested but not yet exercised and/or settled RSU to lapse immediately, in the event of: (a) any Cause of a Grantee; (b) any violation of a Grantee to obligations of confidentiality or non-competition to the Group, or any leakage by such Grantee of the Group’s trade secrets, intellectual property or proprietary information within a specified period after such Grantee ceasing to be an Eligible Participant; (c) any conduct of a Grantee that has materially adverse effect to the reputation or interests of any member of the Group within a specified period after such Grantee ceasing to be an Eligible Participant; (d) in respect of any RSU which is performance linked, any material misstatement in the audited financial statements of the Company that requires a restatement, or any circumstances that show or lead to any of the prescribed performance targets having been assessed or calculated in a materially inaccurate manner.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2920"/>
        <w:gridCol w:w="120"/>
        <w:gridCol w:w="7165"/>
      </w:tblGrid>
      <w:tr>
        <w:trPr/>
        <w:tc>
          <w:tcPr>
            <w:tcW w:w="292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165"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2920" w:type="dxa"/>
            <w:tcBorders/>
            <w:vAlign w:val="center"/>
          </w:tcPr>
          <w:p>
            <w:pPr>
              <w:pStyle w:val="TableContents"/>
              <w:bidi w:val="0"/>
              <w:spacing w:before="0" w:after="283"/>
              <w:jc w:val="left"/>
              <w:rPr>
                <w:sz w:val="4"/>
                <w:szCs w:val="4"/>
              </w:rPr>
            </w:pPr>
            <w:r>
              <w:rPr>
                <w:sz w:val="4"/>
                <w:szCs w:val="4"/>
              </w:rPr>
            </w:r>
          </w:p>
        </w:tc>
        <w:tc>
          <w:tcPr>
            <w:tcW w:w="7285" w:type="dxa"/>
            <w:gridSpan w:val="2"/>
            <w:tcBorders/>
            <w:vAlign w:val="center"/>
          </w:tcPr>
          <w:p>
            <w:pPr>
              <w:pStyle w:val="TableContents"/>
              <w:bidi w:val="0"/>
              <w:spacing w:before="0" w:after="283"/>
              <w:jc w:val="left"/>
              <w:rPr>
                <w:sz w:val="4"/>
                <w:szCs w:val="4"/>
              </w:rPr>
            </w:pPr>
            <w:r>
              <w:rPr>
                <w:sz w:val="4"/>
                <w:szCs w:val="4"/>
              </w:rPr>
            </w:r>
          </w:p>
        </w:tc>
      </w:tr>
      <w:tr>
        <w:trPr/>
        <w:tc>
          <w:tcPr>
            <w:tcW w:w="2920"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165" w:type="dxa"/>
            <w:tcBorders/>
          </w:tcPr>
          <w:p>
            <w:pPr>
              <w:pStyle w:val="TableContents"/>
              <w:bidi w:val="0"/>
              <w:spacing w:before="0" w:after="283"/>
              <w:jc w:val="left"/>
              <w:rPr/>
            </w:pPr>
            <w:r>
              <w:rPr/>
              <w:t>The Company shall have the right to (i) require such Grantee to surrender some or all of the Class A ordinary shares (including in the form of ADSs) underlying the RSUs which have been issued to the Grantee or the Grantee’s transferee for no consideration or (ii) require such Grantee to pay the Company any and all payment in cash or other property in lieu of the Class A ordinary shares (including in the form of ADSs) underlying the RSUs which the Grantee has received from the Company.</w:t>
            </w:r>
          </w:p>
        </w:tc>
      </w:tr>
      <w:tr>
        <w:trPr>
          <w:trHeight w:val="120" w:hRule="atLeast"/>
        </w:trPr>
        <w:tc>
          <w:tcPr>
            <w:tcW w:w="2920" w:type="dxa"/>
            <w:tcBorders/>
            <w:vAlign w:val="center"/>
          </w:tcPr>
          <w:p>
            <w:pPr>
              <w:pStyle w:val="TableContents"/>
              <w:bidi w:val="0"/>
              <w:spacing w:before="0" w:after="283"/>
              <w:jc w:val="left"/>
              <w:rPr>
                <w:sz w:val="4"/>
                <w:szCs w:val="4"/>
              </w:rPr>
            </w:pPr>
            <w:r>
              <w:rPr>
                <w:sz w:val="4"/>
                <w:szCs w:val="4"/>
              </w:rPr>
            </w:r>
          </w:p>
        </w:tc>
        <w:tc>
          <w:tcPr>
            <w:tcW w:w="7285" w:type="dxa"/>
            <w:gridSpan w:val="2"/>
            <w:tcBorders/>
            <w:vAlign w:val="center"/>
          </w:tcPr>
          <w:p>
            <w:pPr>
              <w:pStyle w:val="TableContents"/>
              <w:bidi w:val="0"/>
              <w:spacing w:before="0" w:after="283"/>
              <w:jc w:val="left"/>
              <w:rPr>
                <w:sz w:val="4"/>
                <w:szCs w:val="4"/>
              </w:rPr>
            </w:pPr>
            <w:r>
              <w:rPr>
                <w:sz w:val="4"/>
                <w:szCs w:val="4"/>
              </w:rPr>
            </w:r>
          </w:p>
        </w:tc>
      </w:tr>
      <w:tr>
        <w:trPr/>
        <w:tc>
          <w:tcPr>
            <w:tcW w:w="2920" w:type="dxa"/>
            <w:tcBorders/>
          </w:tcPr>
          <w:p>
            <w:pPr>
              <w:pStyle w:val="TableContents"/>
              <w:bidi w:val="0"/>
              <w:spacing w:before="0" w:after="283"/>
              <w:jc w:val="left"/>
              <w:rPr>
                <w:b/>
              </w:rPr>
            </w:pPr>
            <w:r>
              <w:rPr>
                <w:b/>
              </w:rPr>
              <w:t>Duration of the 2025 Share Incentive Scheme</w:t>
            </w:r>
          </w:p>
        </w:tc>
        <w:tc>
          <w:tcPr>
            <w:tcW w:w="120" w:type="dxa"/>
            <w:tcBorders/>
            <w:vAlign w:val="bottom"/>
          </w:tcPr>
          <w:p>
            <w:pPr>
              <w:pStyle w:val="TableContents"/>
              <w:bidi w:val="0"/>
              <w:spacing w:before="0" w:after="283"/>
              <w:jc w:val="left"/>
              <w:rPr/>
            </w:pPr>
            <w:r>
              <w:rPr/>
              <w:t>  </w:t>
            </w:r>
          </w:p>
        </w:tc>
        <w:tc>
          <w:tcPr>
            <w:tcW w:w="7165" w:type="dxa"/>
            <w:tcBorders/>
          </w:tcPr>
          <w:p>
            <w:pPr>
              <w:pStyle w:val="TableContents"/>
              <w:bidi w:val="0"/>
              <w:spacing w:before="0" w:after="283"/>
              <w:jc w:val="left"/>
              <w:rPr/>
            </w:pPr>
            <w:r>
              <w:rPr/>
              <w:t>Subject to any early termination as may be determined by the Board or its delegate(s) pursuant to the 2025 Share Incentive Scheme, the 2025 Share Incentive Scheme shall be valid and effective for a period of 10 (ten) years commencing the Adoption Date, after which no further Awards will be granted, but the provisions of the 2025 Share Incentive Scheme shall in all other respects remain in full force and effect and the Awards granted during the term of the 2025 Share Incentive Scheme may continue to be valid and exercisable in accordance with their terms of grant.</w:t>
            </w:r>
          </w:p>
        </w:tc>
      </w:tr>
      <w:tr>
        <w:trPr>
          <w:trHeight w:val="120" w:hRule="atLeast"/>
        </w:trPr>
        <w:tc>
          <w:tcPr>
            <w:tcW w:w="2920" w:type="dxa"/>
            <w:tcBorders/>
            <w:vAlign w:val="center"/>
          </w:tcPr>
          <w:p>
            <w:pPr>
              <w:pStyle w:val="TableContents"/>
              <w:bidi w:val="0"/>
              <w:spacing w:before="0" w:after="283"/>
              <w:jc w:val="left"/>
              <w:rPr>
                <w:sz w:val="4"/>
                <w:szCs w:val="4"/>
              </w:rPr>
            </w:pPr>
            <w:r>
              <w:rPr>
                <w:sz w:val="4"/>
                <w:szCs w:val="4"/>
              </w:rPr>
            </w:r>
          </w:p>
        </w:tc>
        <w:tc>
          <w:tcPr>
            <w:tcW w:w="7285" w:type="dxa"/>
            <w:gridSpan w:val="2"/>
            <w:tcBorders/>
            <w:vAlign w:val="center"/>
          </w:tcPr>
          <w:p>
            <w:pPr>
              <w:pStyle w:val="TableContents"/>
              <w:bidi w:val="0"/>
              <w:spacing w:before="0" w:after="283"/>
              <w:jc w:val="left"/>
              <w:rPr>
                <w:sz w:val="4"/>
                <w:szCs w:val="4"/>
              </w:rPr>
            </w:pPr>
            <w:r>
              <w:rPr>
                <w:sz w:val="4"/>
                <w:szCs w:val="4"/>
              </w:rPr>
            </w:r>
          </w:p>
        </w:tc>
      </w:tr>
      <w:tr>
        <w:trPr/>
        <w:tc>
          <w:tcPr>
            <w:tcW w:w="2920" w:type="dxa"/>
            <w:tcBorders/>
          </w:tcPr>
          <w:p>
            <w:pPr>
              <w:pStyle w:val="TableContents"/>
              <w:bidi w:val="0"/>
              <w:spacing w:before="0" w:after="283"/>
              <w:jc w:val="left"/>
              <w:rPr>
                <w:b/>
              </w:rPr>
            </w:pPr>
            <w:r>
              <w:rPr>
                <w:b/>
              </w:rPr>
              <w:t>Financial assistance</w:t>
            </w:r>
          </w:p>
        </w:tc>
        <w:tc>
          <w:tcPr>
            <w:tcW w:w="120" w:type="dxa"/>
            <w:tcBorders/>
            <w:vAlign w:val="bottom"/>
          </w:tcPr>
          <w:p>
            <w:pPr>
              <w:pStyle w:val="TableContents"/>
              <w:bidi w:val="0"/>
              <w:spacing w:before="0" w:after="283"/>
              <w:jc w:val="left"/>
              <w:rPr/>
            </w:pPr>
            <w:r>
              <w:rPr/>
              <w:t>  </w:t>
            </w:r>
          </w:p>
        </w:tc>
        <w:tc>
          <w:tcPr>
            <w:tcW w:w="7165" w:type="dxa"/>
            <w:tcBorders/>
          </w:tcPr>
          <w:p>
            <w:pPr>
              <w:pStyle w:val="TableContents"/>
              <w:bidi w:val="0"/>
              <w:spacing w:before="0" w:after="283"/>
              <w:jc w:val="left"/>
              <w:rPr/>
            </w:pPr>
            <w:r>
              <w:rPr/>
              <w:t>To the best knowledge of the Directors, no financial assistance has been provided by the Group to the Grantees for the purchase of Shares under the 2025 Share Incentive Scheme.</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new Class A ordinary shares to be issued and allotted by the Company to the Grantees under the RSU Grants represent approximately 0.24% of the total issued Shares of the Company as at the date of this announcement and approximately 0.24% of the total issued Shares of the Company as enlarged by such issue and allotment. </w:t>
      </w:r>
    </w:p>
    <w:p>
      <w:pPr>
        <w:pStyle w:val="TextBody"/>
        <w:bidi w:val="0"/>
        <w:spacing w:before="360" w:after="0"/>
        <w:jc w:val="left"/>
        <w:rPr>
          <w:rFonts w:ascii="Times New Roman" w:hAnsi="Times New Roman"/>
          <w:b/>
          <w:sz w:val="20"/>
        </w:rPr>
      </w:pPr>
      <w:r>
        <w:rPr>
          <w:rFonts w:ascii="Times New Roman" w:hAnsi="Times New Roman"/>
          <w:b/>
          <w:sz w:val="20"/>
        </w:rPr>
        <w:t xml:space="preserve">Class A ordinary shares available for future grant under the 2025 Share Incentive Scheme </w:t>
      </w:r>
    </w:p>
    <w:p>
      <w:pPr>
        <w:pStyle w:val="TextBody"/>
        <w:bidi w:val="0"/>
        <w:spacing w:before="120" w:after="0"/>
        <w:jc w:val="left"/>
        <w:rPr>
          <w:rFonts w:ascii="Times New Roman" w:hAnsi="Times New Roman"/>
          <w:sz w:val="20"/>
        </w:rPr>
      </w:pPr>
      <w:r>
        <w:rPr>
          <w:rFonts w:ascii="Times New Roman" w:hAnsi="Times New Roman"/>
          <w:sz w:val="20"/>
        </w:rPr>
        <w:t xml:space="preserve">As at the date of this announcement and following the RSU Grants, the number of Class A ordinary shares available for future grant under the scheme mandate limit and the service provider sublimit of the 2025 Share Incentive Scheme is 147,965,251 and 9,531,047, respectively. </w:t>
      </w:r>
    </w:p>
    <w:p>
      <w:pPr>
        <w:pStyle w:val="TextBody"/>
        <w:bidi w:val="0"/>
        <w:spacing w:before="360" w:after="0"/>
        <w:jc w:val="left"/>
        <w:rPr>
          <w:rFonts w:ascii="Times New Roman" w:hAnsi="Times New Roman"/>
          <w:b/>
          <w:sz w:val="20"/>
        </w:rPr>
      </w:pPr>
      <w:r>
        <w:rPr>
          <w:rFonts w:ascii="Times New Roman" w:hAnsi="Times New Roman"/>
          <w:b/>
          <w:sz w:val="20"/>
        </w:rPr>
        <w:t xml:space="preserve">Definitions </w:t>
      </w:r>
    </w:p>
    <w:p>
      <w:pPr>
        <w:pStyle w:val="TextBody"/>
        <w:bidi w:val="0"/>
        <w:spacing w:before="120" w:after="0"/>
        <w:jc w:val="left"/>
        <w:rPr>
          <w:rFonts w:ascii="Times New Roman" w:hAnsi="Times New Roman"/>
          <w:sz w:val="20"/>
        </w:rPr>
      </w:pPr>
      <w:r>
        <w:rPr>
          <w:rFonts w:ascii="Times New Roman" w:hAnsi="Times New Roman"/>
          <w:sz w:val="20"/>
        </w:rPr>
        <w:t xml:space="preserve">In this announcement, the following expressions shall have the following meanings unless the context requires otherwise: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926"/>
        <w:gridCol w:w="122"/>
        <w:gridCol w:w="7157"/>
      </w:tblGrid>
      <w:tr>
        <w:trPr/>
        <w:tc>
          <w:tcPr>
            <w:tcW w:w="2926"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7157"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2926" w:type="dxa"/>
            <w:tcBorders/>
            <w:vAlign w:val="center"/>
          </w:tcPr>
          <w:p>
            <w:pPr>
              <w:pStyle w:val="TableContents"/>
              <w:bidi w:val="0"/>
              <w:spacing w:before="0" w:after="283"/>
              <w:jc w:val="left"/>
              <w:rPr>
                <w:sz w:val="4"/>
                <w:szCs w:val="4"/>
              </w:rPr>
            </w:pPr>
            <w:r>
              <w:rPr>
                <w:sz w:val="4"/>
                <w:szCs w:val="4"/>
              </w:rPr>
            </w:r>
          </w:p>
        </w:tc>
        <w:tc>
          <w:tcPr>
            <w:tcW w:w="7279" w:type="dxa"/>
            <w:gridSpan w:val="2"/>
            <w:tcBorders/>
            <w:vAlign w:val="center"/>
          </w:tcPr>
          <w:p>
            <w:pPr>
              <w:pStyle w:val="TableContents"/>
              <w:bidi w:val="0"/>
              <w:spacing w:before="0" w:after="283"/>
              <w:jc w:val="left"/>
              <w:rPr>
                <w:sz w:val="4"/>
                <w:szCs w:val="4"/>
              </w:rPr>
            </w:pPr>
            <w:r>
              <w:rPr>
                <w:sz w:val="4"/>
                <w:szCs w:val="4"/>
              </w:rPr>
            </w:r>
          </w:p>
        </w:tc>
      </w:tr>
      <w:tr>
        <w:trPr/>
        <w:tc>
          <w:tcPr>
            <w:tcW w:w="2926" w:type="dxa"/>
            <w:tcBorders/>
          </w:tcPr>
          <w:p>
            <w:pPr>
              <w:pStyle w:val="TableContents"/>
              <w:bidi w:val="0"/>
              <w:spacing w:before="0" w:after="283"/>
              <w:jc w:val="left"/>
              <w:rPr/>
            </w:pPr>
            <w:r>
              <w:rPr/>
              <w:t>“</w:t>
            </w:r>
            <w:r>
              <w:rPr>
                <w:b/>
              </w:rPr>
              <w:t>2025 Share Incentive Scheme”</w:t>
            </w:r>
          </w:p>
        </w:tc>
        <w:tc>
          <w:tcPr>
            <w:tcW w:w="122" w:type="dxa"/>
            <w:tcBorders/>
            <w:vAlign w:val="bottom"/>
          </w:tcPr>
          <w:p>
            <w:pPr>
              <w:pStyle w:val="TableContents"/>
              <w:bidi w:val="0"/>
              <w:spacing w:before="0" w:after="283"/>
              <w:jc w:val="left"/>
              <w:rPr/>
            </w:pPr>
            <w:r>
              <w:rPr/>
              <w:t>  </w:t>
            </w:r>
          </w:p>
        </w:tc>
        <w:tc>
          <w:tcPr>
            <w:tcW w:w="7157" w:type="dxa"/>
            <w:tcBorders/>
          </w:tcPr>
          <w:p>
            <w:pPr>
              <w:pStyle w:val="TableContents"/>
              <w:bidi w:val="0"/>
              <w:spacing w:before="0" w:after="283"/>
              <w:jc w:val="left"/>
              <w:rPr/>
            </w:pPr>
            <w:r>
              <w:rPr/>
              <w:t>the share incentive scheme of the Company adopted by the Board on March 18, 2025 and approved by the Shareholders on June 27, 2025</w:t>
            </w:r>
          </w:p>
        </w:tc>
      </w:tr>
      <w:tr>
        <w:trPr>
          <w:trHeight w:val="120" w:hRule="atLeast"/>
        </w:trPr>
        <w:tc>
          <w:tcPr>
            <w:tcW w:w="2926" w:type="dxa"/>
            <w:tcBorders/>
            <w:vAlign w:val="center"/>
          </w:tcPr>
          <w:p>
            <w:pPr>
              <w:pStyle w:val="TableContents"/>
              <w:bidi w:val="0"/>
              <w:spacing w:before="0" w:after="283"/>
              <w:jc w:val="left"/>
              <w:rPr>
                <w:sz w:val="4"/>
                <w:szCs w:val="4"/>
              </w:rPr>
            </w:pPr>
            <w:r>
              <w:rPr>
                <w:sz w:val="4"/>
                <w:szCs w:val="4"/>
              </w:rPr>
            </w:r>
          </w:p>
        </w:tc>
        <w:tc>
          <w:tcPr>
            <w:tcW w:w="7279" w:type="dxa"/>
            <w:gridSpan w:val="2"/>
            <w:tcBorders/>
            <w:vAlign w:val="center"/>
          </w:tcPr>
          <w:p>
            <w:pPr>
              <w:pStyle w:val="TableContents"/>
              <w:bidi w:val="0"/>
              <w:spacing w:before="0" w:after="283"/>
              <w:jc w:val="left"/>
              <w:rPr>
                <w:sz w:val="4"/>
                <w:szCs w:val="4"/>
              </w:rPr>
            </w:pPr>
            <w:r>
              <w:rPr>
                <w:sz w:val="4"/>
                <w:szCs w:val="4"/>
              </w:rPr>
            </w:r>
          </w:p>
        </w:tc>
      </w:tr>
      <w:tr>
        <w:trPr/>
        <w:tc>
          <w:tcPr>
            <w:tcW w:w="2926" w:type="dxa"/>
            <w:tcBorders/>
          </w:tcPr>
          <w:p>
            <w:pPr>
              <w:pStyle w:val="TableContents"/>
              <w:bidi w:val="0"/>
              <w:spacing w:before="0" w:after="283"/>
              <w:jc w:val="left"/>
              <w:rPr/>
            </w:pPr>
            <w:r>
              <w:rPr/>
              <w:t>“</w:t>
            </w:r>
            <w:r>
              <w:rPr>
                <w:b/>
              </w:rPr>
              <w:t>Adoption Date”</w:t>
            </w:r>
          </w:p>
        </w:tc>
        <w:tc>
          <w:tcPr>
            <w:tcW w:w="122" w:type="dxa"/>
            <w:tcBorders/>
            <w:vAlign w:val="bottom"/>
          </w:tcPr>
          <w:p>
            <w:pPr>
              <w:pStyle w:val="TableContents"/>
              <w:bidi w:val="0"/>
              <w:spacing w:before="0" w:after="283"/>
              <w:jc w:val="left"/>
              <w:rPr/>
            </w:pPr>
            <w:r>
              <w:rPr/>
              <w:t>  </w:t>
            </w:r>
          </w:p>
        </w:tc>
        <w:tc>
          <w:tcPr>
            <w:tcW w:w="7157" w:type="dxa"/>
            <w:tcBorders/>
          </w:tcPr>
          <w:p>
            <w:pPr>
              <w:pStyle w:val="TableContents"/>
              <w:bidi w:val="0"/>
              <w:spacing w:before="0" w:after="283"/>
              <w:jc w:val="left"/>
              <w:rPr/>
            </w:pPr>
            <w:r>
              <w:rPr/>
              <w:t>June 27, 2025</w:t>
            </w:r>
          </w:p>
        </w:tc>
      </w:tr>
      <w:tr>
        <w:trPr>
          <w:trHeight w:val="120" w:hRule="atLeast"/>
        </w:trPr>
        <w:tc>
          <w:tcPr>
            <w:tcW w:w="2926" w:type="dxa"/>
            <w:tcBorders/>
            <w:vAlign w:val="center"/>
          </w:tcPr>
          <w:p>
            <w:pPr>
              <w:pStyle w:val="TableContents"/>
              <w:bidi w:val="0"/>
              <w:spacing w:before="0" w:after="283"/>
              <w:jc w:val="left"/>
              <w:rPr>
                <w:sz w:val="4"/>
                <w:szCs w:val="4"/>
              </w:rPr>
            </w:pPr>
            <w:r>
              <w:rPr>
                <w:sz w:val="4"/>
                <w:szCs w:val="4"/>
              </w:rPr>
            </w:r>
          </w:p>
        </w:tc>
        <w:tc>
          <w:tcPr>
            <w:tcW w:w="7279" w:type="dxa"/>
            <w:gridSpan w:val="2"/>
            <w:tcBorders/>
            <w:vAlign w:val="center"/>
          </w:tcPr>
          <w:p>
            <w:pPr>
              <w:pStyle w:val="TableContents"/>
              <w:bidi w:val="0"/>
              <w:spacing w:before="0" w:after="283"/>
              <w:jc w:val="left"/>
              <w:rPr>
                <w:sz w:val="4"/>
                <w:szCs w:val="4"/>
              </w:rPr>
            </w:pPr>
            <w:r>
              <w:rPr>
                <w:sz w:val="4"/>
                <w:szCs w:val="4"/>
              </w:rPr>
            </w:r>
          </w:p>
        </w:tc>
      </w:tr>
      <w:tr>
        <w:trPr/>
        <w:tc>
          <w:tcPr>
            <w:tcW w:w="2926" w:type="dxa"/>
            <w:tcBorders/>
          </w:tcPr>
          <w:p>
            <w:pPr>
              <w:pStyle w:val="TableContents"/>
              <w:bidi w:val="0"/>
              <w:spacing w:before="0" w:after="283"/>
              <w:jc w:val="left"/>
              <w:rPr/>
            </w:pPr>
            <w:r>
              <w:rPr/>
              <w:t>“</w:t>
            </w:r>
            <w:r>
              <w:rPr>
                <w:b/>
              </w:rPr>
              <w:t>ADSs”</w:t>
            </w:r>
          </w:p>
        </w:tc>
        <w:tc>
          <w:tcPr>
            <w:tcW w:w="122" w:type="dxa"/>
            <w:tcBorders/>
            <w:vAlign w:val="bottom"/>
          </w:tcPr>
          <w:p>
            <w:pPr>
              <w:pStyle w:val="TableContents"/>
              <w:bidi w:val="0"/>
              <w:spacing w:before="0" w:after="283"/>
              <w:jc w:val="left"/>
              <w:rPr/>
            </w:pPr>
            <w:r>
              <w:rPr/>
              <w:t>  </w:t>
            </w:r>
          </w:p>
        </w:tc>
        <w:tc>
          <w:tcPr>
            <w:tcW w:w="7157" w:type="dxa"/>
            <w:tcBorders/>
          </w:tcPr>
          <w:p>
            <w:pPr>
              <w:pStyle w:val="TableContents"/>
              <w:bidi w:val="0"/>
              <w:spacing w:before="0" w:after="283"/>
              <w:jc w:val="left"/>
              <w:rPr/>
            </w:pPr>
            <w:r>
              <w:rPr/>
              <w:t>American depositary shares, each of which represents two Class A ordinary shares</w:t>
            </w:r>
          </w:p>
        </w:tc>
      </w:tr>
      <w:tr>
        <w:trPr>
          <w:trHeight w:val="120" w:hRule="atLeast"/>
        </w:trPr>
        <w:tc>
          <w:tcPr>
            <w:tcW w:w="2926" w:type="dxa"/>
            <w:tcBorders/>
            <w:vAlign w:val="center"/>
          </w:tcPr>
          <w:p>
            <w:pPr>
              <w:pStyle w:val="TableContents"/>
              <w:bidi w:val="0"/>
              <w:spacing w:before="0" w:after="283"/>
              <w:jc w:val="left"/>
              <w:rPr>
                <w:sz w:val="4"/>
                <w:szCs w:val="4"/>
              </w:rPr>
            </w:pPr>
            <w:r>
              <w:rPr>
                <w:sz w:val="4"/>
                <w:szCs w:val="4"/>
              </w:rPr>
            </w:r>
          </w:p>
        </w:tc>
        <w:tc>
          <w:tcPr>
            <w:tcW w:w="7279" w:type="dxa"/>
            <w:gridSpan w:val="2"/>
            <w:tcBorders/>
            <w:vAlign w:val="center"/>
          </w:tcPr>
          <w:p>
            <w:pPr>
              <w:pStyle w:val="TableContents"/>
              <w:bidi w:val="0"/>
              <w:spacing w:before="0" w:after="283"/>
              <w:jc w:val="left"/>
              <w:rPr>
                <w:sz w:val="4"/>
                <w:szCs w:val="4"/>
              </w:rPr>
            </w:pPr>
            <w:r>
              <w:rPr>
                <w:sz w:val="4"/>
                <w:szCs w:val="4"/>
              </w:rPr>
            </w:r>
          </w:p>
        </w:tc>
      </w:tr>
      <w:tr>
        <w:trPr/>
        <w:tc>
          <w:tcPr>
            <w:tcW w:w="2926" w:type="dxa"/>
            <w:tcBorders/>
          </w:tcPr>
          <w:p>
            <w:pPr>
              <w:pStyle w:val="TableContents"/>
              <w:bidi w:val="0"/>
              <w:spacing w:before="0" w:after="283"/>
              <w:jc w:val="left"/>
              <w:rPr/>
            </w:pPr>
            <w:r>
              <w:rPr/>
              <w:t>“</w:t>
            </w:r>
            <w:r>
              <w:rPr>
                <w:b/>
              </w:rPr>
              <w:t>Award(s)”</w:t>
            </w:r>
          </w:p>
        </w:tc>
        <w:tc>
          <w:tcPr>
            <w:tcW w:w="122" w:type="dxa"/>
            <w:tcBorders/>
            <w:vAlign w:val="bottom"/>
          </w:tcPr>
          <w:p>
            <w:pPr>
              <w:pStyle w:val="TableContents"/>
              <w:bidi w:val="0"/>
              <w:spacing w:before="0" w:after="283"/>
              <w:jc w:val="left"/>
              <w:rPr/>
            </w:pPr>
            <w:r>
              <w:rPr/>
              <w:t>  </w:t>
            </w:r>
          </w:p>
        </w:tc>
        <w:tc>
          <w:tcPr>
            <w:tcW w:w="7157" w:type="dxa"/>
            <w:tcBorders/>
          </w:tcPr>
          <w:p>
            <w:pPr>
              <w:pStyle w:val="TableContents"/>
              <w:bidi w:val="0"/>
              <w:spacing w:before="0" w:after="283"/>
              <w:jc w:val="left"/>
              <w:rPr/>
            </w:pPr>
            <w:r>
              <w:rPr/>
              <w:t>award(s) of any Options or RSUs as determined by the Board or its delegate(s) and granted to an Eligible Participant pursuant to the 2025 Share Incentive Scheme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2968"/>
        <w:gridCol w:w="121"/>
        <w:gridCol w:w="7116"/>
      </w:tblGrid>
      <w:tr>
        <w:trPr/>
        <w:tc>
          <w:tcPr>
            <w:tcW w:w="2968"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7116"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2968" w:type="dxa"/>
            <w:tcBorders/>
            <w:vAlign w:val="center"/>
          </w:tcPr>
          <w:p>
            <w:pPr>
              <w:pStyle w:val="TableContents"/>
              <w:bidi w:val="0"/>
              <w:spacing w:before="0" w:after="283"/>
              <w:jc w:val="left"/>
              <w:rPr>
                <w:sz w:val="4"/>
                <w:szCs w:val="4"/>
              </w:rPr>
            </w:pPr>
            <w:r>
              <w:rPr>
                <w:sz w:val="4"/>
                <w:szCs w:val="4"/>
              </w:rPr>
            </w:r>
          </w:p>
        </w:tc>
        <w:tc>
          <w:tcPr>
            <w:tcW w:w="7237" w:type="dxa"/>
            <w:gridSpan w:val="2"/>
            <w:tcBorders/>
            <w:vAlign w:val="center"/>
          </w:tcPr>
          <w:p>
            <w:pPr>
              <w:pStyle w:val="TableContents"/>
              <w:bidi w:val="0"/>
              <w:spacing w:before="0" w:after="283"/>
              <w:jc w:val="left"/>
              <w:rPr>
                <w:sz w:val="4"/>
                <w:szCs w:val="4"/>
              </w:rPr>
            </w:pPr>
            <w:r>
              <w:rPr>
                <w:sz w:val="4"/>
                <w:szCs w:val="4"/>
              </w:rPr>
            </w:r>
          </w:p>
        </w:tc>
      </w:tr>
      <w:tr>
        <w:trPr/>
        <w:tc>
          <w:tcPr>
            <w:tcW w:w="2968" w:type="dxa"/>
            <w:tcBorders/>
          </w:tcPr>
          <w:p>
            <w:pPr>
              <w:pStyle w:val="TableContents"/>
              <w:bidi w:val="0"/>
              <w:spacing w:before="0" w:after="283"/>
              <w:jc w:val="left"/>
              <w:rPr/>
            </w:pPr>
            <w:r>
              <w:rPr/>
              <w:t>“</w:t>
            </w:r>
            <w:r>
              <w:rPr>
                <w:b/>
              </w:rPr>
              <w:t>Board”</w:t>
            </w:r>
          </w:p>
        </w:tc>
        <w:tc>
          <w:tcPr>
            <w:tcW w:w="121" w:type="dxa"/>
            <w:tcBorders/>
            <w:vAlign w:val="bottom"/>
          </w:tcPr>
          <w:p>
            <w:pPr>
              <w:pStyle w:val="TableContents"/>
              <w:bidi w:val="0"/>
              <w:spacing w:before="0" w:after="283"/>
              <w:jc w:val="left"/>
              <w:rPr/>
            </w:pPr>
            <w:r>
              <w:rPr/>
              <w:t>  </w:t>
            </w:r>
          </w:p>
        </w:tc>
        <w:tc>
          <w:tcPr>
            <w:tcW w:w="7116" w:type="dxa"/>
            <w:tcBorders/>
          </w:tcPr>
          <w:p>
            <w:pPr>
              <w:pStyle w:val="TableContents"/>
              <w:bidi w:val="0"/>
              <w:spacing w:before="0" w:after="283"/>
              <w:jc w:val="left"/>
              <w:rPr/>
            </w:pPr>
            <w:r>
              <w:rPr/>
              <w:t>the board of Directors of the Company or a duly authorized administration committee thereof or such other committee as the Board may authorize</w:t>
            </w:r>
          </w:p>
        </w:tc>
      </w:tr>
      <w:tr>
        <w:trPr>
          <w:trHeight w:val="120" w:hRule="atLeast"/>
        </w:trPr>
        <w:tc>
          <w:tcPr>
            <w:tcW w:w="2968" w:type="dxa"/>
            <w:tcBorders/>
            <w:vAlign w:val="center"/>
          </w:tcPr>
          <w:p>
            <w:pPr>
              <w:pStyle w:val="TableContents"/>
              <w:bidi w:val="0"/>
              <w:spacing w:before="0" w:after="283"/>
              <w:jc w:val="left"/>
              <w:rPr>
                <w:sz w:val="4"/>
                <w:szCs w:val="4"/>
              </w:rPr>
            </w:pPr>
            <w:r>
              <w:rPr>
                <w:sz w:val="4"/>
                <w:szCs w:val="4"/>
              </w:rPr>
            </w:r>
          </w:p>
        </w:tc>
        <w:tc>
          <w:tcPr>
            <w:tcW w:w="7237" w:type="dxa"/>
            <w:gridSpan w:val="2"/>
            <w:tcBorders/>
            <w:vAlign w:val="center"/>
          </w:tcPr>
          <w:p>
            <w:pPr>
              <w:pStyle w:val="TableContents"/>
              <w:bidi w:val="0"/>
              <w:spacing w:before="0" w:after="283"/>
              <w:jc w:val="left"/>
              <w:rPr>
                <w:sz w:val="4"/>
                <w:szCs w:val="4"/>
              </w:rPr>
            </w:pPr>
            <w:r>
              <w:rPr>
                <w:sz w:val="4"/>
                <w:szCs w:val="4"/>
              </w:rPr>
            </w:r>
          </w:p>
        </w:tc>
      </w:tr>
      <w:tr>
        <w:trPr/>
        <w:tc>
          <w:tcPr>
            <w:tcW w:w="2968" w:type="dxa"/>
            <w:tcBorders/>
          </w:tcPr>
          <w:p>
            <w:pPr>
              <w:pStyle w:val="TableContents"/>
              <w:bidi w:val="0"/>
              <w:spacing w:before="0" w:after="283"/>
              <w:jc w:val="left"/>
              <w:rPr/>
            </w:pPr>
            <w:r>
              <w:rPr/>
              <w:t>“</w:t>
            </w:r>
            <w:r>
              <w:rPr>
                <w:b/>
              </w:rPr>
              <w:t>Board or its delegate(s)”</w:t>
            </w:r>
          </w:p>
        </w:tc>
        <w:tc>
          <w:tcPr>
            <w:tcW w:w="121" w:type="dxa"/>
            <w:tcBorders/>
            <w:vAlign w:val="bottom"/>
          </w:tcPr>
          <w:p>
            <w:pPr>
              <w:pStyle w:val="TableContents"/>
              <w:bidi w:val="0"/>
              <w:spacing w:before="0" w:after="283"/>
              <w:jc w:val="left"/>
              <w:rPr/>
            </w:pPr>
            <w:r>
              <w:rPr/>
              <w:t>  </w:t>
            </w:r>
          </w:p>
        </w:tc>
        <w:tc>
          <w:tcPr>
            <w:tcW w:w="7116" w:type="dxa"/>
            <w:tcBorders/>
          </w:tcPr>
          <w:p>
            <w:pPr>
              <w:pStyle w:val="TableContents"/>
              <w:bidi w:val="0"/>
              <w:spacing w:before="0" w:after="283"/>
              <w:jc w:val="left"/>
              <w:rPr/>
            </w:pPr>
            <w:r>
              <w:rPr/>
              <w:t>the Board, or a committee of the Board, and/or person(s) to which the Board has delegated its authority</w:t>
            </w:r>
          </w:p>
        </w:tc>
      </w:tr>
      <w:tr>
        <w:trPr>
          <w:trHeight w:val="120" w:hRule="atLeast"/>
        </w:trPr>
        <w:tc>
          <w:tcPr>
            <w:tcW w:w="2968" w:type="dxa"/>
            <w:tcBorders/>
            <w:vAlign w:val="center"/>
          </w:tcPr>
          <w:p>
            <w:pPr>
              <w:pStyle w:val="TableContents"/>
              <w:bidi w:val="0"/>
              <w:spacing w:before="0" w:after="283"/>
              <w:jc w:val="left"/>
              <w:rPr>
                <w:sz w:val="4"/>
                <w:szCs w:val="4"/>
              </w:rPr>
            </w:pPr>
            <w:r>
              <w:rPr>
                <w:sz w:val="4"/>
                <w:szCs w:val="4"/>
              </w:rPr>
            </w:r>
          </w:p>
        </w:tc>
        <w:tc>
          <w:tcPr>
            <w:tcW w:w="7237" w:type="dxa"/>
            <w:gridSpan w:val="2"/>
            <w:tcBorders/>
            <w:vAlign w:val="center"/>
          </w:tcPr>
          <w:p>
            <w:pPr>
              <w:pStyle w:val="TableContents"/>
              <w:bidi w:val="0"/>
              <w:spacing w:before="0" w:after="283"/>
              <w:jc w:val="left"/>
              <w:rPr>
                <w:sz w:val="4"/>
                <w:szCs w:val="4"/>
              </w:rPr>
            </w:pPr>
            <w:r>
              <w:rPr>
                <w:sz w:val="4"/>
                <w:szCs w:val="4"/>
              </w:rPr>
            </w:r>
          </w:p>
        </w:tc>
      </w:tr>
      <w:tr>
        <w:trPr/>
        <w:tc>
          <w:tcPr>
            <w:tcW w:w="2968" w:type="dxa"/>
            <w:tcBorders/>
          </w:tcPr>
          <w:p>
            <w:pPr>
              <w:pStyle w:val="TableContents"/>
              <w:bidi w:val="0"/>
              <w:spacing w:before="0" w:after="283"/>
              <w:jc w:val="left"/>
              <w:rPr/>
            </w:pPr>
            <w:r>
              <w:rPr/>
              <w:t>“</w:t>
            </w:r>
            <w:r>
              <w:rPr>
                <w:b/>
              </w:rPr>
              <w:t>Cause”</w:t>
            </w:r>
          </w:p>
        </w:tc>
        <w:tc>
          <w:tcPr>
            <w:tcW w:w="121" w:type="dxa"/>
            <w:tcBorders/>
            <w:vAlign w:val="bottom"/>
          </w:tcPr>
          <w:p>
            <w:pPr>
              <w:pStyle w:val="TableContents"/>
              <w:bidi w:val="0"/>
              <w:spacing w:before="0" w:after="283"/>
              <w:jc w:val="left"/>
              <w:rPr/>
            </w:pPr>
            <w:r>
              <w:rPr/>
              <w:t>  </w:t>
            </w:r>
          </w:p>
        </w:tc>
        <w:tc>
          <w:tcPr>
            <w:tcW w:w="7116" w:type="dxa"/>
            <w:tcBorders/>
          </w:tcPr>
          <w:p>
            <w:pPr>
              <w:pStyle w:val="TableContents"/>
              <w:bidi w:val="0"/>
              <w:spacing w:before="0" w:after="283"/>
              <w:jc w:val="left"/>
              <w:rPr/>
            </w:pPr>
            <w:r>
              <w:rPr/>
              <w:t>with respect to a Grantee, the termination of employment or office on any one or more of the following grounds: the Grantee has been guilty of misconduct, materially breached any restrictive covenant in favour of the Company or materially violated any Company code of conduct, pled no contest or has been convicted of any felony or other criminal offence involving his integrity or honesty or (if so determined by the Board or its delegate(s) in its absolute discretion) on any other ground on which the relevant company in the Group would be entitled to terminate his employment or office summarily at common law or pursuant to any applicable laws or under the Grantee’s service contract with the relevant company in the Group. Notwithstanding the foregoing, a resolution and/ or decision of the Board or its delegate(s), or the board of directors of the relevant Subsidiary or the Consolidated Affiliated Entity to the effect that the employment or office of a Grantee has or has not been terminated on one or more of the grounds specified herein shall be conclusive</w:t>
            </w:r>
          </w:p>
        </w:tc>
      </w:tr>
      <w:tr>
        <w:trPr>
          <w:trHeight w:val="120" w:hRule="atLeast"/>
        </w:trPr>
        <w:tc>
          <w:tcPr>
            <w:tcW w:w="2968" w:type="dxa"/>
            <w:tcBorders/>
            <w:vAlign w:val="center"/>
          </w:tcPr>
          <w:p>
            <w:pPr>
              <w:pStyle w:val="TableContents"/>
              <w:bidi w:val="0"/>
              <w:spacing w:before="0" w:after="283"/>
              <w:jc w:val="left"/>
              <w:rPr>
                <w:sz w:val="4"/>
                <w:szCs w:val="4"/>
              </w:rPr>
            </w:pPr>
            <w:r>
              <w:rPr>
                <w:sz w:val="4"/>
                <w:szCs w:val="4"/>
              </w:rPr>
            </w:r>
          </w:p>
        </w:tc>
        <w:tc>
          <w:tcPr>
            <w:tcW w:w="7237" w:type="dxa"/>
            <w:gridSpan w:val="2"/>
            <w:tcBorders/>
            <w:vAlign w:val="center"/>
          </w:tcPr>
          <w:p>
            <w:pPr>
              <w:pStyle w:val="TableContents"/>
              <w:bidi w:val="0"/>
              <w:spacing w:before="0" w:after="283"/>
              <w:jc w:val="left"/>
              <w:rPr>
                <w:sz w:val="4"/>
                <w:szCs w:val="4"/>
              </w:rPr>
            </w:pPr>
            <w:r>
              <w:rPr>
                <w:sz w:val="4"/>
                <w:szCs w:val="4"/>
              </w:rPr>
            </w:r>
          </w:p>
        </w:tc>
      </w:tr>
      <w:tr>
        <w:trPr/>
        <w:tc>
          <w:tcPr>
            <w:tcW w:w="2968" w:type="dxa"/>
            <w:tcBorders/>
          </w:tcPr>
          <w:p>
            <w:pPr>
              <w:pStyle w:val="TableContents"/>
              <w:bidi w:val="0"/>
              <w:spacing w:before="0" w:after="283"/>
              <w:jc w:val="left"/>
              <w:rPr/>
            </w:pPr>
            <w:r>
              <w:rPr/>
              <w:t>“</w:t>
            </w:r>
            <w:r>
              <w:rPr>
                <w:b/>
              </w:rPr>
              <w:t>Class A ordinary shares”</w:t>
            </w:r>
          </w:p>
        </w:tc>
        <w:tc>
          <w:tcPr>
            <w:tcW w:w="121" w:type="dxa"/>
            <w:tcBorders/>
            <w:vAlign w:val="bottom"/>
          </w:tcPr>
          <w:p>
            <w:pPr>
              <w:pStyle w:val="TableContents"/>
              <w:bidi w:val="0"/>
              <w:spacing w:before="0" w:after="283"/>
              <w:jc w:val="left"/>
              <w:rPr/>
            </w:pPr>
            <w:r>
              <w:rPr/>
              <w:t>  </w:t>
            </w:r>
          </w:p>
        </w:tc>
        <w:tc>
          <w:tcPr>
            <w:tcW w:w="7116" w:type="dxa"/>
            <w:tcBorders/>
          </w:tcPr>
          <w:p>
            <w:pPr>
              <w:pStyle w:val="TableContents"/>
              <w:bidi w:val="0"/>
              <w:spacing w:before="0" w:after="283"/>
              <w:jc w:val="left"/>
              <w:rPr/>
            </w:pPr>
            <w:r>
              <w:rPr/>
              <w:t>Class A ordinary shares of the share capital of the Company with a par value of US$0.00001 each, conferring a holder of a Class A ordinary share one vote per share on all matters subject to the vote at general meetings of the Company</w:t>
            </w:r>
          </w:p>
        </w:tc>
      </w:tr>
      <w:tr>
        <w:trPr>
          <w:trHeight w:val="120" w:hRule="atLeast"/>
        </w:trPr>
        <w:tc>
          <w:tcPr>
            <w:tcW w:w="2968" w:type="dxa"/>
            <w:tcBorders/>
            <w:vAlign w:val="center"/>
          </w:tcPr>
          <w:p>
            <w:pPr>
              <w:pStyle w:val="TableContents"/>
              <w:bidi w:val="0"/>
              <w:spacing w:before="0" w:after="283"/>
              <w:jc w:val="left"/>
              <w:rPr>
                <w:sz w:val="4"/>
                <w:szCs w:val="4"/>
              </w:rPr>
            </w:pPr>
            <w:r>
              <w:rPr>
                <w:sz w:val="4"/>
                <w:szCs w:val="4"/>
              </w:rPr>
            </w:r>
          </w:p>
        </w:tc>
        <w:tc>
          <w:tcPr>
            <w:tcW w:w="7237" w:type="dxa"/>
            <w:gridSpan w:val="2"/>
            <w:tcBorders/>
            <w:vAlign w:val="center"/>
          </w:tcPr>
          <w:p>
            <w:pPr>
              <w:pStyle w:val="TableContents"/>
              <w:bidi w:val="0"/>
              <w:spacing w:before="0" w:after="283"/>
              <w:jc w:val="left"/>
              <w:rPr>
                <w:sz w:val="4"/>
                <w:szCs w:val="4"/>
              </w:rPr>
            </w:pPr>
            <w:r>
              <w:rPr>
                <w:sz w:val="4"/>
                <w:szCs w:val="4"/>
              </w:rPr>
            </w:r>
          </w:p>
        </w:tc>
      </w:tr>
      <w:tr>
        <w:trPr/>
        <w:tc>
          <w:tcPr>
            <w:tcW w:w="2968" w:type="dxa"/>
            <w:tcBorders/>
          </w:tcPr>
          <w:p>
            <w:pPr>
              <w:pStyle w:val="TableContents"/>
              <w:bidi w:val="0"/>
              <w:spacing w:before="0" w:after="283"/>
              <w:jc w:val="left"/>
              <w:rPr/>
            </w:pPr>
            <w:r>
              <w:rPr/>
              <w:t>“</w:t>
            </w:r>
            <w:r>
              <w:rPr>
                <w:b/>
              </w:rPr>
              <w:t>Class B ordinary shares”</w:t>
            </w:r>
          </w:p>
        </w:tc>
        <w:tc>
          <w:tcPr>
            <w:tcW w:w="121" w:type="dxa"/>
            <w:tcBorders/>
            <w:vAlign w:val="bottom"/>
          </w:tcPr>
          <w:p>
            <w:pPr>
              <w:pStyle w:val="TableContents"/>
              <w:bidi w:val="0"/>
              <w:spacing w:before="0" w:after="283"/>
              <w:jc w:val="left"/>
              <w:rPr/>
            </w:pPr>
            <w:r>
              <w:rPr/>
              <w:t>  </w:t>
            </w:r>
          </w:p>
        </w:tc>
        <w:tc>
          <w:tcPr>
            <w:tcW w:w="7116" w:type="dxa"/>
            <w:tcBorders/>
          </w:tcPr>
          <w:p>
            <w:pPr>
              <w:pStyle w:val="TableContents"/>
              <w:bidi w:val="0"/>
              <w:spacing w:before="0" w:after="283"/>
              <w:jc w:val="left"/>
              <w:rPr/>
            </w:pPr>
            <w:r>
              <w:rPr/>
              <w:t>Class B ordinary shares of the share capital of the Company with a par value of US$0.00001 each, conferring weighted voting rights in the Company such that a holder of a Class B ordinary share is entitled to ten votes per share on all matters subject to the vote at general meetings of the Company, subject to the requirements under Rule 8A.24 of the Listing Rules that the reserved matters shall be voted on a one vote per share basis</w:t>
            </w:r>
          </w:p>
        </w:tc>
      </w:tr>
      <w:tr>
        <w:trPr>
          <w:trHeight w:val="120" w:hRule="atLeast"/>
        </w:trPr>
        <w:tc>
          <w:tcPr>
            <w:tcW w:w="2968" w:type="dxa"/>
            <w:tcBorders/>
            <w:vAlign w:val="center"/>
          </w:tcPr>
          <w:p>
            <w:pPr>
              <w:pStyle w:val="TableContents"/>
              <w:bidi w:val="0"/>
              <w:spacing w:before="0" w:after="283"/>
              <w:jc w:val="left"/>
              <w:rPr>
                <w:sz w:val="4"/>
                <w:szCs w:val="4"/>
              </w:rPr>
            </w:pPr>
            <w:r>
              <w:rPr>
                <w:sz w:val="4"/>
                <w:szCs w:val="4"/>
              </w:rPr>
            </w:r>
          </w:p>
        </w:tc>
        <w:tc>
          <w:tcPr>
            <w:tcW w:w="7237" w:type="dxa"/>
            <w:gridSpan w:val="2"/>
            <w:tcBorders/>
            <w:vAlign w:val="center"/>
          </w:tcPr>
          <w:p>
            <w:pPr>
              <w:pStyle w:val="TableContents"/>
              <w:bidi w:val="0"/>
              <w:spacing w:before="0" w:after="283"/>
              <w:jc w:val="left"/>
              <w:rPr>
                <w:sz w:val="4"/>
                <w:szCs w:val="4"/>
              </w:rPr>
            </w:pPr>
            <w:r>
              <w:rPr>
                <w:sz w:val="4"/>
                <w:szCs w:val="4"/>
              </w:rPr>
            </w:r>
          </w:p>
        </w:tc>
      </w:tr>
      <w:tr>
        <w:trPr/>
        <w:tc>
          <w:tcPr>
            <w:tcW w:w="2968" w:type="dxa"/>
            <w:tcBorders/>
          </w:tcPr>
          <w:p>
            <w:pPr>
              <w:pStyle w:val="TableContents"/>
              <w:bidi w:val="0"/>
              <w:spacing w:before="0" w:after="283"/>
              <w:jc w:val="left"/>
              <w:rPr/>
            </w:pPr>
            <w:r>
              <w:rPr/>
              <w:t>“</w:t>
            </w:r>
            <w:r>
              <w:rPr>
                <w:b/>
              </w:rPr>
              <w:t>Committee”</w:t>
            </w:r>
          </w:p>
        </w:tc>
        <w:tc>
          <w:tcPr>
            <w:tcW w:w="121" w:type="dxa"/>
            <w:tcBorders/>
            <w:vAlign w:val="bottom"/>
          </w:tcPr>
          <w:p>
            <w:pPr>
              <w:pStyle w:val="TableContents"/>
              <w:bidi w:val="0"/>
              <w:spacing w:before="0" w:after="283"/>
              <w:jc w:val="left"/>
              <w:rPr/>
            </w:pPr>
            <w:r>
              <w:rPr/>
              <w:t>  </w:t>
            </w:r>
          </w:p>
        </w:tc>
        <w:tc>
          <w:tcPr>
            <w:tcW w:w="7116" w:type="dxa"/>
            <w:tcBorders/>
          </w:tcPr>
          <w:p>
            <w:pPr>
              <w:pStyle w:val="TableContents"/>
              <w:bidi w:val="0"/>
              <w:spacing w:before="0" w:after="283"/>
              <w:jc w:val="left"/>
              <w:rPr/>
            </w:pPr>
            <w:r>
              <w:rPr/>
              <w:t>the compensation committee of the Board (or a subcommittee thereof), or such other committee of the Board to which the Board has delegated power to act pursuant to the provisions of the 2025 Share Incentive Scheme</w:t>
            </w:r>
          </w:p>
        </w:tc>
      </w:tr>
      <w:tr>
        <w:trPr>
          <w:trHeight w:val="120" w:hRule="atLeast"/>
        </w:trPr>
        <w:tc>
          <w:tcPr>
            <w:tcW w:w="2968" w:type="dxa"/>
            <w:tcBorders/>
            <w:vAlign w:val="center"/>
          </w:tcPr>
          <w:p>
            <w:pPr>
              <w:pStyle w:val="TableContents"/>
              <w:bidi w:val="0"/>
              <w:spacing w:before="0" w:after="283"/>
              <w:jc w:val="left"/>
              <w:rPr>
                <w:sz w:val="4"/>
                <w:szCs w:val="4"/>
              </w:rPr>
            </w:pPr>
            <w:r>
              <w:rPr>
                <w:sz w:val="4"/>
                <w:szCs w:val="4"/>
              </w:rPr>
            </w:r>
          </w:p>
        </w:tc>
        <w:tc>
          <w:tcPr>
            <w:tcW w:w="7237" w:type="dxa"/>
            <w:gridSpan w:val="2"/>
            <w:tcBorders/>
            <w:vAlign w:val="center"/>
          </w:tcPr>
          <w:p>
            <w:pPr>
              <w:pStyle w:val="TableContents"/>
              <w:bidi w:val="0"/>
              <w:spacing w:before="0" w:after="283"/>
              <w:jc w:val="left"/>
              <w:rPr>
                <w:sz w:val="4"/>
                <w:szCs w:val="4"/>
              </w:rPr>
            </w:pPr>
            <w:r>
              <w:rPr>
                <w:sz w:val="4"/>
                <w:szCs w:val="4"/>
              </w:rPr>
            </w:r>
          </w:p>
        </w:tc>
      </w:tr>
      <w:tr>
        <w:trPr/>
        <w:tc>
          <w:tcPr>
            <w:tcW w:w="2968" w:type="dxa"/>
            <w:tcBorders/>
          </w:tcPr>
          <w:p>
            <w:pPr>
              <w:pStyle w:val="TableContents"/>
              <w:bidi w:val="0"/>
              <w:spacing w:before="0" w:after="283"/>
              <w:jc w:val="left"/>
              <w:rPr/>
            </w:pPr>
            <w:r>
              <w:rPr/>
              <w:t>“</w:t>
            </w:r>
            <w:r>
              <w:rPr>
                <w:b/>
              </w:rPr>
              <w:t>Company” or “the Company”</w:t>
            </w:r>
          </w:p>
        </w:tc>
        <w:tc>
          <w:tcPr>
            <w:tcW w:w="121" w:type="dxa"/>
            <w:tcBorders/>
            <w:vAlign w:val="bottom"/>
          </w:tcPr>
          <w:p>
            <w:pPr>
              <w:pStyle w:val="TableContents"/>
              <w:bidi w:val="0"/>
              <w:spacing w:before="0" w:after="283"/>
              <w:jc w:val="left"/>
              <w:rPr/>
            </w:pPr>
            <w:r>
              <w:rPr/>
              <w:t>  </w:t>
            </w:r>
          </w:p>
        </w:tc>
        <w:tc>
          <w:tcPr>
            <w:tcW w:w="7116" w:type="dxa"/>
            <w:tcBorders/>
          </w:tcPr>
          <w:p>
            <w:pPr>
              <w:pStyle w:val="TableContents"/>
              <w:bidi w:val="0"/>
              <w:spacing w:before="0" w:after="283"/>
              <w:jc w:val="left"/>
              <w:rPr/>
            </w:pPr>
            <w:r>
              <w:rPr/>
              <w:t>XPeng Inc., a company controlled through weighted voting rights and incorporated in the Cayman Islands with limited liability, the Class A ordinary shares of which are listed on the Main Board of the Hong Kong Stock Exchange and the ADSs of which are listed on the New York Stock Exchange</w:t>
            </w:r>
          </w:p>
        </w:tc>
      </w:tr>
      <w:tr>
        <w:trPr>
          <w:trHeight w:val="120" w:hRule="atLeast"/>
        </w:trPr>
        <w:tc>
          <w:tcPr>
            <w:tcW w:w="2968" w:type="dxa"/>
            <w:tcBorders/>
            <w:vAlign w:val="center"/>
          </w:tcPr>
          <w:p>
            <w:pPr>
              <w:pStyle w:val="TableContents"/>
              <w:bidi w:val="0"/>
              <w:spacing w:before="0" w:after="283"/>
              <w:jc w:val="left"/>
              <w:rPr>
                <w:sz w:val="4"/>
                <w:szCs w:val="4"/>
              </w:rPr>
            </w:pPr>
            <w:r>
              <w:rPr>
                <w:sz w:val="4"/>
                <w:szCs w:val="4"/>
              </w:rPr>
            </w:r>
          </w:p>
        </w:tc>
        <w:tc>
          <w:tcPr>
            <w:tcW w:w="7237" w:type="dxa"/>
            <w:gridSpan w:val="2"/>
            <w:tcBorders/>
            <w:vAlign w:val="center"/>
          </w:tcPr>
          <w:p>
            <w:pPr>
              <w:pStyle w:val="TableContents"/>
              <w:bidi w:val="0"/>
              <w:spacing w:before="0" w:after="283"/>
              <w:jc w:val="left"/>
              <w:rPr>
                <w:sz w:val="4"/>
                <w:szCs w:val="4"/>
              </w:rPr>
            </w:pPr>
            <w:r>
              <w:rPr>
                <w:sz w:val="4"/>
                <w:szCs w:val="4"/>
              </w:rPr>
            </w:r>
          </w:p>
        </w:tc>
      </w:tr>
      <w:tr>
        <w:trPr/>
        <w:tc>
          <w:tcPr>
            <w:tcW w:w="2968" w:type="dxa"/>
            <w:tcBorders/>
          </w:tcPr>
          <w:p>
            <w:pPr>
              <w:pStyle w:val="TableContents"/>
              <w:bidi w:val="0"/>
              <w:spacing w:before="0" w:after="283"/>
              <w:jc w:val="left"/>
              <w:rPr/>
            </w:pPr>
            <w:r>
              <w:rPr/>
              <w:t>“</w:t>
            </w:r>
            <w:r>
              <w:rPr>
                <w:b/>
              </w:rPr>
              <w:t>Consolidated Affiliated Entities”</w:t>
            </w:r>
          </w:p>
        </w:tc>
        <w:tc>
          <w:tcPr>
            <w:tcW w:w="121" w:type="dxa"/>
            <w:tcBorders/>
            <w:vAlign w:val="bottom"/>
          </w:tcPr>
          <w:p>
            <w:pPr>
              <w:pStyle w:val="TableContents"/>
              <w:bidi w:val="0"/>
              <w:spacing w:before="0" w:after="283"/>
              <w:jc w:val="left"/>
              <w:rPr/>
            </w:pPr>
            <w:r>
              <w:rPr/>
              <w:t>  </w:t>
            </w:r>
          </w:p>
        </w:tc>
        <w:tc>
          <w:tcPr>
            <w:tcW w:w="7116" w:type="dxa"/>
            <w:tcBorders/>
          </w:tcPr>
          <w:p>
            <w:pPr>
              <w:pStyle w:val="TableContents"/>
              <w:bidi w:val="0"/>
              <w:spacing w:before="0" w:after="283"/>
              <w:jc w:val="left"/>
              <w:rPr/>
            </w:pPr>
            <w:r>
              <w:rPr/>
              <w:t>the entities the financials of which are consolidated into the Company by virtue of contractual arrangements</w:t>
            </w:r>
          </w:p>
        </w:tc>
      </w:tr>
      <w:tr>
        <w:trPr>
          <w:trHeight w:val="120" w:hRule="atLeast"/>
        </w:trPr>
        <w:tc>
          <w:tcPr>
            <w:tcW w:w="2968" w:type="dxa"/>
            <w:tcBorders/>
            <w:vAlign w:val="center"/>
          </w:tcPr>
          <w:p>
            <w:pPr>
              <w:pStyle w:val="TableContents"/>
              <w:bidi w:val="0"/>
              <w:spacing w:before="0" w:after="283"/>
              <w:jc w:val="left"/>
              <w:rPr>
                <w:sz w:val="4"/>
                <w:szCs w:val="4"/>
              </w:rPr>
            </w:pPr>
            <w:r>
              <w:rPr>
                <w:sz w:val="4"/>
                <w:szCs w:val="4"/>
              </w:rPr>
            </w:r>
          </w:p>
        </w:tc>
        <w:tc>
          <w:tcPr>
            <w:tcW w:w="7237" w:type="dxa"/>
            <w:gridSpan w:val="2"/>
            <w:tcBorders/>
            <w:vAlign w:val="center"/>
          </w:tcPr>
          <w:p>
            <w:pPr>
              <w:pStyle w:val="TableContents"/>
              <w:bidi w:val="0"/>
              <w:spacing w:before="0" w:after="283"/>
              <w:jc w:val="left"/>
              <w:rPr>
                <w:sz w:val="4"/>
                <w:szCs w:val="4"/>
              </w:rPr>
            </w:pPr>
            <w:r>
              <w:rPr>
                <w:sz w:val="4"/>
                <w:szCs w:val="4"/>
              </w:rPr>
            </w:r>
          </w:p>
        </w:tc>
      </w:tr>
      <w:tr>
        <w:trPr/>
        <w:tc>
          <w:tcPr>
            <w:tcW w:w="2968" w:type="dxa"/>
            <w:tcBorders/>
          </w:tcPr>
          <w:p>
            <w:pPr>
              <w:pStyle w:val="TableContents"/>
              <w:bidi w:val="0"/>
              <w:spacing w:before="0" w:after="283"/>
              <w:jc w:val="left"/>
              <w:rPr/>
            </w:pPr>
            <w:r>
              <w:rPr/>
              <w:t>“</w:t>
            </w:r>
            <w:r>
              <w:rPr>
                <w:b/>
              </w:rPr>
              <w:t>Director(s)”</w:t>
            </w:r>
          </w:p>
        </w:tc>
        <w:tc>
          <w:tcPr>
            <w:tcW w:w="121" w:type="dxa"/>
            <w:tcBorders/>
            <w:vAlign w:val="bottom"/>
          </w:tcPr>
          <w:p>
            <w:pPr>
              <w:pStyle w:val="TableContents"/>
              <w:bidi w:val="0"/>
              <w:spacing w:before="0" w:after="283"/>
              <w:jc w:val="left"/>
              <w:rPr/>
            </w:pPr>
            <w:r>
              <w:rPr/>
              <w:t>  </w:t>
            </w:r>
          </w:p>
        </w:tc>
        <w:tc>
          <w:tcPr>
            <w:tcW w:w="7116" w:type="dxa"/>
            <w:tcBorders/>
          </w:tcPr>
          <w:p>
            <w:pPr>
              <w:pStyle w:val="TableContents"/>
              <w:bidi w:val="0"/>
              <w:spacing w:before="0" w:after="283"/>
              <w:jc w:val="left"/>
              <w:rPr/>
            </w:pPr>
            <w:r>
              <w:rPr/>
              <w:t>the director(s) of the Company</w:t>
            </w:r>
          </w:p>
        </w:tc>
      </w:tr>
      <w:tr>
        <w:trPr>
          <w:trHeight w:val="120" w:hRule="atLeast"/>
        </w:trPr>
        <w:tc>
          <w:tcPr>
            <w:tcW w:w="2968" w:type="dxa"/>
            <w:tcBorders/>
            <w:vAlign w:val="center"/>
          </w:tcPr>
          <w:p>
            <w:pPr>
              <w:pStyle w:val="TableContents"/>
              <w:bidi w:val="0"/>
              <w:spacing w:before="0" w:after="283"/>
              <w:jc w:val="left"/>
              <w:rPr>
                <w:sz w:val="4"/>
                <w:szCs w:val="4"/>
              </w:rPr>
            </w:pPr>
            <w:r>
              <w:rPr>
                <w:sz w:val="4"/>
                <w:szCs w:val="4"/>
              </w:rPr>
            </w:r>
          </w:p>
        </w:tc>
        <w:tc>
          <w:tcPr>
            <w:tcW w:w="7237" w:type="dxa"/>
            <w:gridSpan w:val="2"/>
            <w:tcBorders/>
            <w:vAlign w:val="center"/>
          </w:tcPr>
          <w:p>
            <w:pPr>
              <w:pStyle w:val="TableContents"/>
              <w:bidi w:val="0"/>
              <w:spacing w:before="0" w:after="283"/>
              <w:jc w:val="left"/>
              <w:rPr>
                <w:sz w:val="4"/>
                <w:szCs w:val="4"/>
              </w:rPr>
            </w:pPr>
            <w:r>
              <w:rPr>
                <w:sz w:val="4"/>
                <w:szCs w:val="4"/>
              </w:rPr>
            </w:r>
          </w:p>
        </w:tc>
      </w:tr>
      <w:tr>
        <w:trPr/>
        <w:tc>
          <w:tcPr>
            <w:tcW w:w="2968" w:type="dxa"/>
            <w:tcBorders/>
          </w:tcPr>
          <w:p>
            <w:pPr>
              <w:pStyle w:val="TableContents"/>
              <w:bidi w:val="0"/>
              <w:spacing w:before="0" w:after="283"/>
              <w:jc w:val="left"/>
              <w:rPr/>
            </w:pPr>
            <w:r>
              <w:rPr/>
              <w:t>“</w:t>
            </w:r>
            <w:r>
              <w:rPr>
                <w:b/>
              </w:rPr>
              <w:t>Employee(s)”</w:t>
            </w:r>
          </w:p>
        </w:tc>
        <w:tc>
          <w:tcPr>
            <w:tcW w:w="121" w:type="dxa"/>
            <w:tcBorders/>
            <w:vAlign w:val="bottom"/>
          </w:tcPr>
          <w:p>
            <w:pPr>
              <w:pStyle w:val="TableContents"/>
              <w:bidi w:val="0"/>
              <w:spacing w:before="0" w:after="283"/>
              <w:jc w:val="left"/>
              <w:rPr/>
            </w:pPr>
            <w:r>
              <w:rPr/>
              <w:t>  </w:t>
            </w:r>
          </w:p>
        </w:tc>
        <w:tc>
          <w:tcPr>
            <w:tcW w:w="7116" w:type="dxa"/>
            <w:tcBorders/>
          </w:tcPr>
          <w:p>
            <w:pPr>
              <w:pStyle w:val="TableContents"/>
              <w:bidi w:val="0"/>
              <w:spacing w:before="0" w:after="283"/>
              <w:jc w:val="left"/>
              <w:rPr/>
            </w:pPr>
            <w:r>
              <w:rPr/>
              <w:t>any person who has an employment relationship with any member of the Group</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2932"/>
        <w:gridCol w:w="120"/>
        <w:gridCol w:w="7153"/>
      </w:tblGrid>
      <w:tr>
        <w:trPr/>
        <w:tc>
          <w:tcPr>
            <w:tcW w:w="293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153"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2932" w:type="dxa"/>
            <w:tcBorders/>
            <w:vAlign w:val="center"/>
          </w:tcPr>
          <w:p>
            <w:pPr>
              <w:pStyle w:val="TableContents"/>
              <w:bidi w:val="0"/>
              <w:spacing w:before="0" w:after="283"/>
              <w:jc w:val="left"/>
              <w:rPr>
                <w:sz w:val="4"/>
                <w:szCs w:val="4"/>
              </w:rPr>
            </w:pPr>
            <w:r>
              <w:rPr>
                <w:sz w:val="4"/>
                <w:szCs w:val="4"/>
              </w:rPr>
            </w:r>
          </w:p>
        </w:tc>
        <w:tc>
          <w:tcPr>
            <w:tcW w:w="7273" w:type="dxa"/>
            <w:gridSpan w:val="2"/>
            <w:tcBorders/>
            <w:vAlign w:val="center"/>
          </w:tcPr>
          <w:p>
            <w:pPr>
              <w:pStyle w:val="TableContents"/>
              <w:bidi w:val="0"/>
              <w:spacing w:before="0" w:after="283"/>
              <w:jc w:val="left"/>
              <w:rPr>
                <w:sz w:val="4"/>
                <w:szCs w:val="4"/>
              </w:rPr>
            </w:pPr>
            <w:r>
              <w:rPr>
                <w:sz w:val="4"/>
                <w:szCs w:val="4"/>
              </w:rPr>
            </w:r>
          </w:p>
        </w:tc>
      </w:tr>
      <w:tr>
        <w:trPr/>
        <w:tc>
          <w:tcPr>
            <w:tcW w:w="2932" w:type="dxa"/>
            <w:tcBorders/>
          </w:tcPr>
          <w:p>
            <w:pPr>
              <w:pStyle w:val="TableContents"/>
              <w:bidi w:val="0"/>
              <w:spacing w:before="0" w:after="283"/>
              <w:jc w:val="left"/>
              <w:rPr/>
            </w:pPr>
            <w:r>
              <w:rPr/>
              <w:t>“</w:t>
            </w:r>
            <w:r>
              <w:rPr>
                <w:b/>
              </w:rPr>
              <w:t>Eligible Participant(s)”</w:t>
            </w:r>
          </w:p>
        </w:tc>
        <w:tc>
          <w:tcPr>
            <w:tcW w:w="120" w:type="dxa"/>
            <w:tcBorders/>
            <w:vAlign w:val="bottom"/>
          </w:tcPr>
          <w:p>
            <w:pPr>
              <w:pStyle w:val="TableContents"/>
              <w:bidi w:val="0"/>
              <w:spacing w:before="0" w:after="283"/>
              <w:jc w:val="left"/>
              <w:rPr/>
            </w:pPr>
            <w:r>
              <w:rPr/>
              <w:t>  </w:t>
            </w:r>
          </w:p>
        </w:tc>
        <w:tc>
          <w:tcPr>
            <w:tcW w:w="7153" w:type="dxa"/>
            <w:tcBorders/>
          </w:tcPr>
          <w:p>
            <w:pPr>
              <w:pStyle w:val="TableContents"/>
              <w:bidi w:val="0"/>
              <w:spacing w:before="0" w:after="283"/>
              <w:jc w:val="left"/>
              <w:rPr/>
            </w:pPr>
            <w:r>
              <w:rPr/>
              <w:t>Employee Participant(s), Service Provider(s) and Related Entity Participant(s)</w:t>
            </w:r>
          </w:p>
        </w:tc>
      </w:tr>
      <w:tr>
        <w:trPr>
          <w:trHeight w:val="120" w:hRule="atLeast"/>
        </w:trPr>
        <w:tc>
          <w:tcPr>
            <w:tcW w:w="2932" w:type="dxa"/>
            <w:tcBorders/>
            <w:vAlign w:val="center"/>
          </w:tcPr>
          <w:p>
            <w:pPr>
              <w:pStyle w:val="TableContents"/>
              <w:bidi w:val="0"/>
              <w:spacing w:before="0" w:after="283"/>
              <w:jc w:val="left"/>
              <w:rPr>
                <w:sz w:val="4"/>
                <w:szCs w:val="4"/>
              </w:rPr>
            </w:pPr>
            <w:r>
              <w:rPr>
                <w:sz w:val="4"/>
                <w:szCs w:val="4"/>
              </w:rPr>
            </w:r>
          </w:p>
        </w:tc>
        <w:tc>
          <w:tcPr>
            <w:tcW w:w="7273" w:type="dxa"/>
            <w:gridSpan w:val="2"/>
            <w:tcBorders/>
            <w:vAlign w:val="center"/>
          </w:tcPr>
          <w:p>
            <w:pPr>
              <w:pStyle w:val="TableContents"/>
              <w:bidi w:val="0"/>
              <w:spacing w:before="0" w:after="283"/>
              <w:jc w:val="left"/>
              <w:rPr>
                <w:sz w:val="4"/>
                <w:szCs w:val="4"/>
              </w:rPr>
            </w:pPr>
            <w:r>
              <w:rPr>
                <w:sz w:val="4"/>
                <w:szCs w:val="4"/>
              </w:rPr>
            </w:r>
          </w:p>
        </w:tc>
      </w:tr>
      <w:tr>
        <w:trPr/>
        <w:tc>
          <w:tcPr>
            <w:tcW w:w="2932" w:type="dxa"/>
            <w:tcBorders/>
          </w:tcPr>
          <w:p>
            <w:pPr>
              <w:pStyle w:val="TableContents"/>
              <w:bidi w:val="0"/>
              <w:spacing w:before="0" w:after="283"/>
              <w:jc w:val="left"/>
              <w:rPr/>
            </w:pPr>
            <w:r>
              <w:rPr/>
              <w:t>“</w:t>
            </w:r>
            <w:r>
              <w:rPr>
                <w:b/>
              </w:rPr>
              <w:t>Employee Participant(s)”</w:t>
            </w:r>
          </w:p>
        </w:tc>
        <w:tc>
          <w:tcPr>
            <w:tcW w:w="120" w:type="dxa"/>
            <w:tcBorders/>
            <w:vAlign w:val="bottom"/>
          </w:tcPr>
          <w:p>
            <w:pPr>
              <w:pStyle w:val="TableContents"/>
              <w:bidi w:val="0"/>
              <w:spacing w:before="0" w:after="283"/>
              <w:jc w:val="left"/>
              <w:rPr/>
            </w:pPr>
            <w:r>
              <w:rPr/>
              <w:t>  </w:t>
            </w:r>
          </w:p>
        </w:tc>
        <w:tc>
          <w:tcPr>
            <w:tcW w:w="7153" w:type="dxa"/>
            <w:tcBorders/>
          </w:tcPr>
          <w:p>
            <w:pPr>
              <w:pStyle w:val="TableContents"/>
              <w:bidi w:val="0"/>
              <w:spacing w:before="0" w:after="283"/>
              <w:jc w:val="left"/>
              <w:rPr/>
            </w:pPr>
            <w:r>
              <w:rPr/>
              <w:t>Director(s) and employee(s) of any member of the Group, i.e., the Company, its Subsidiaries and Consolidated Affiliated Entities (including persons who are granted Options and/or RSUs under the 2025 Share Incentive Scheme as an inducement to enter into employment contracts with the Group)</w:t>
            </w:r>
          </w:p>
        </w:tc>
      </w:tr>
      <w:tr>
        <w:trPr>
          <w:trHeight w:val="120" w:hRule="atLeast"/>
        </w:trPr>
        <w:tc>
          <w:tcPr>
            <w:tcW w:w="2932" w:type="dxa"/>
            <w:tcBorders/>
            <w:vAlign w:val="center"/>
          </w:tcPr>
          <w:p>
            <w:pPr>
              <w:pStyle w:val="TableContents"/>
              <w:bidi w:val="0"/>
              <w:spacing w:before="0" w:after="283"/>
              <w:jc w:val="left"/>
              <w:rPr>
                <w:sz w:val="4"/>
                <w:szCs w:val="4"/>
              </w:rPr>
            </w:pPr>
            <w:r>
              <w:rPr>
                <w:sz w:val="4"/>
                <w:szCs w:val="4"/>
              </w:rPr>
            </w:r>
          </w:p>
        </w:tc>
        <w:tc>
          <w:tcPr>
            <w:tcW w:w="7273" w:type="dxa"/>
            <w:gridSpan w:val="2"/>
            <w:tcBorders/>
            <w:vAlign w:val="center"/>
          </w:tcPr>
          <w:p>
            <w:pPr>
              <w:pStyle w:val="TableContents"/>
              <w:bidi w:val="0"/>
              <w:spacing w:before="0" w:after="283"/>
              <w:jc w:val="left"/>
              <w:rPr>
                <w:sz w:val="4"/>
                <w:szCs w:val="4"/>
              </w:rPr>
            </w:pPr>
            <w:r>
              <w:rPr>
                <w:sz w:val="4"/>
                <w:szCs w:val="4"/>
              </w:rPr>
            </w:r>
          </w:p>
        </w:tc>
      </w:tr>
      <w:tr>
        <w:trPr/>
        <w:tc>
          <w:tcPr>
            <w:tcW w:w="2932" w:type="dxa"/>
            <w:tcBorders/>
          </w:tcPr>
          <w:p>
            <w:pPr>
              <w:pStyle w:val="TableContents"/>
              <w:bidi w:val="0"/>
              <w:spacing w:before="0" w:after="283"/>
              <w:jc w:val="left"/>
              <w:rPr/>
            </w:pPr>
            <w:r>
              <w:rPr/>
              <w:t>“</w:t>
            </w:r>
            <w:r>
              <w:rPr>
                <w:b/>
              </w:rPr>
              <w:t>Grantee(s)”</w:t>
            </w:r>
          </w:p>
        </w:tc>
        <w:tc>
          <w:tcPr>
            <w:tcW w:w="120" w:type="dxa"/>
            <w:tcBorders/>
            <w:vAlign w:val="bottom"/>
          </w:tcPr>
          <w:p>
            <w:pPr>
              <w:pStyle w:val="TableContents"/>
              <w:bidi w:val="0"/>
              <w:spacing w:before="0" w:after="283"/>
              <w:jc w:val="left"/>
              <w:rPr/>
            </w:pPr>
            <w:r>
              <w:rPr/>
              <w:t>  </w:t>
            </w:r>
          </w:p>
        </w:tc>
        <w:tc>
          <w:tcPr>
            <w:tcW w:w="7153" w:type="dxa"/>
            <w:tcBorders/>
          </w:tcPr>
          <w:p>
            <w:pPr>
              <w:pStyle w:val="TableContents"/>
              <w:bidi w:val="0"/>
              <w:spacing w:before="0" w:after="283"/>
              <w:jc w:val="left"/>
              <w:rPr/>
            </w:pPr>
            <w:r>
              <w:rPr/>
              <w:t>75 Employees of the Group who were granted RSUs under the 2025 Share Incentive Scheme on October 16, 2026</w:t>
            </w:r>
          </w:p>
        </w:tc>
      </w:tr>
      <w:tr>
        <w:trPr>
          <w:trHeight w:val="120" w:hRule="atLeast"/>
        </w:trPr>
        <w:tc>
          <w:tcPr>
            <w:tcW w:w="2932" w:type="dxa"/>
            <w:tcBorders/>
            <w:vAlign w:val="center"/>
          </w:tcPr>
          <w:p>
            <w:pPr>
              <w:pStyle w:val="TableContents"/>
              <w:bidi w:val="0"/>
              <w:spacing w:before="0" w:after="283"/>
              <w:jc w:val="left"/>
              <w:rPr>
                <w:sz w:val="4"/>
                <w:szCs w:val="4"/>
              </w:rPr>
            </w:pPr>
            <w:r>
              <w:rPr>
                <w:sz w:val="4"/>
                <w:szCs w:val="4"/>
              </w:rPr>
            </w:r>
          </w:p>
        </w:tc>
        <w:tc>
          <w:tcPr>
            <w:tcW w:w="7273" w:type="dxa"/>
            <w:gridSpan w:val="2"/>
            <w:tcBorders/>
            <w:vAlign w:val="center"/>
          </w:tcPr>
          <w:p>
            <w:pPr>
              <w:pStyle w:val="TableContents"/>
              <w:bidi w:val="0"/>
              <w:spacing w:before="0" w:after="283"/>
              <w:jc w:val="left"/>
              <w:rPr>
                <w:sz w:val="4"/>
                <w:szCs w:val="4"/>
              </w:rPr>
            </w:pPr>
            <w:r>
              <w:rPr>
                <w:sz w:val="4"/>
                <w:szCs w:val="4"/>
              </w:rPr>
            </w:r>
          </w:p>
        </w:tc>
      </w:tr>
      <w:tr>
        <w:trPr/>
        <w:tc>
          <w:tcPr>
            <w:tcW w:w="2932" w:type="dxa"/>
            <w:tcBorders/>
          </w:tcPr>
          <w:p>
            <w:pPr>
              <w:pStyle w:val="TableContents"/>
              <w:bidi w:val="0"/>
              <w:spacing w:before="0" w:after="283"/>
              <w:jc w:val="left"/>
              <w:rPr/>
            </w:pPr>
            <w:r>
              <w:rPr/>
              <w:t>“</w:t>
            </w:r>
            <w:r>
              <w:rPr>
                <w:b/>
              </w:rPr>
              <w:t>Group”</w:t>
            </w:r>
          </w:p>
        </w:tc>
        <w:tc>
          <w:tcPr>
            <w:tcW w:w="120" w:type="dxa"/>
            <w:tcBorders/>
            <w:vAlign w:val="bottom"/>
          </w:tcPr>
          <w:p>
            <w:pPr>
              <w:pStyle w:val="TableContents"/>
              <w:bidi w:val="0"/>
              <w:spacing w:before="0" w:after="283"/>
              <w:jc w:val="left"/>
              <w:rPr/>
            </w:pPr>
            <w:r>
              <w:rPr/>
              <w:t>  </w:t>
            </w:r>
          </w:p>
        </w:tc>
        <w:tc>
          <w:tcPr>
            <w:tcW w:w="7153" w:type="dxa"/>
            <w:tcBorders/>
          </w:tcPr>
          <w:p>
            <w:pPr>
              <w:pStyle w:val="TableContents"/>
              <w:bidi w:val="0"/>
              <w:spacing w:before="0" w:after="283"/>
              <w:jc w:val="left"/>
              <w:rPr/>
            </w:pPr>
            <w:r>
              <w:rPr/>
              <w:t>the Company, its Subsidiaries and Consolidated Affiliated Entities</w:t>
            </w:r>
          </w:p>
        </w:tc>
      </w:tr>
      <w:tr>
        <w:trPr>
          <w:trHeight w:val="120" w:hRule="atLeast"/>
        </w:trPr>
        <w:tc>
          <w:tcPr>
            <w:tcW w:w="2932" w:type="dxa"/>
            <w:tcBorders/>
            <w:vAlign w:val="center"/>
          </w:tcPr>
          <w:p>
            <w:pPr>
              <w:pStyle w:val="TableContents"/>
              <w:bidi w:val="0"/>
              <w:spacing w:before="0" w:after="283"/>
              <w:jc w:val="left"/>
              <w:rPr>
                <w:sz w:val="4"/>
                <w:szCs w:val="4"/>
              </w:rPr>
            </w:pPr>
            <w:r>
              <w:rPr>
                <w:sz w:val="4"/>
                <w:szCs w:val="4"/>
              </w:rPr>
            </w:r>
          </w:p>
        </w:tc>
        <w:tc>
          <w:tcPr>
            <w:tcW w:w="7273" w:type="dxa"/>
            <w:gridSpan w:val="2"/>
            <w:tcBorders/>
            <w:vAlign w:val="center"/>
          </w:tcPr>
          <w:p>
            <w:pPr>
              <w:pStyle w:val="TableContents"/>
              <w:bidi w:val="0"/>
              <w:spacing w:before="0" w:after="283"/>
              <w:jc w:val="left"/>
              <w:rPr>
                <w:sz w:val="4"/>
                <w:szCs w:val="4"/>
              </w:rPr>
            </w:pPr>
            <w:r>
              <w:rPr>
                <w:sz w:val="4"/>
                <w:szCs w:val="4"/>
              </w:rPr>
            </w:r>
          </w:p>
        </w:tc>
      </w:tr>
      <w:tr>
        <w:trPr/>
        <w:tc>
          <w:tcPr>
            <w:tcW w:w="2932" w:type="dxa"/>
            <w:tcBorders/>
          </w:tcPr>
          <w:p>
            <w:pPr>
              <w:pStyle w:val="TableContents"/>
              <w:bidi w:val="0"/>
              <w:spacing w:before="0" w:after="283"/>
              <w:jc w:val="left"/>
              <w:rPr/>
            </w:pPr>
            <w:r>
              <w:rPr/>
              <w:t>“</w:t>
            </w:r>
            <w:r>
              <w:rPr>
                <w:b/>
              </w:rPr>
              <w:t>HK$”</w:t>
            </w:r>
          </w:p>
        </w:tc>
        <w:tc>
          <w:tcPr>
            <w:tcW w:w="120" w:type="dxa"/>
            <w:tcBorders/>
            <w:vAlign w:val="bottom"/>
          </w:tcPr>
          <w:p>
            <w:pPr>
              <w:pStyle w:val="TableContents"/>
              <w:bidi w:val="0"/>
              <w:spacing w:before="0" w:after="283"/>
              <w:jc w:val="left"/>
              <w:rPr/>
            </w:pPr>
            <w:r>
              <w:rPr/>
              <w:t>  </w:t>
            </w:r>
          </w:p>
        </w:tc>
        <w:tc>
          <w:tcPr>
            <w:tcW w:w="7153" w:type="dxa"/>
            <w:tcBorders/>
          </w:tcPr>
          <w:p>
            <w:pPr>
              <w:pStyle w:val="TableContents"/>
              <w:bidi w:val="0"/>
              <w:spacing w:before="0" w:after="283"/>
              <w:jc w:val="left"/>
              <w:rPr/>
            </w:pPr>
            <w:r>
              <w:rPr/>
              <w:t>Hong Kong dollars, the lawful currency of Hong Kong</w:t>
            </w:r>
          </w:p>
        </w:tc>
      </w:tr>
      <w:tr>
        <w:trPr>
          <w:trHeight w:val="120" w:hRule="atLeast"/>
        </w:trPr>
        <w:tc>
          <w:tcPr>
            <w:tcW w:w="2932" w:type="dxa"/>
            <w:tcBorders/>
            <w:vAlign w:val="center"/>
          </w:tcPr>
          <w:p>
            <w:pPr>
              <w:pStyle w:val="TableContents"/>
              <w:bidi w:val="0"/>
              <w:spacing w:before="0" w:after="283"/>
              <w:jc w:val="left"/>
              <w:rPr>
                <w:sz w:val="4"/>
                <w:szCs w:val="4"/>
              </w:rPr>
            </w:pPr>
            <w:r>
              <w:rPr>
                <w:sz w:val="4"/>
                <w:szCs w:val="4"/>
              </w:rPr>
            </w:r>
          </w:p>
        </w:tc>
        <w:tc>
          <w:tcPr>
            <w:tcW w:w="7273" w:type="dxa"/>
            <w:gridSpan w:val="2"/>
            <w:tcBorders/>
            <w:vAlign w:val="center"/>
          </w:tcPr>
          <w:p>
            <w:pPr>
              <w:pStyle w:val="TableContents"/>
              <w:bidi w:val="0"/>
              <w:spacing w:before="0" w:after="283"/>
              <w:jc w:val="left"/>
              <w:rPr>
                <w:sz w:val="4"/>
                <w:szCs w:val="4"/>
              </w:rPr>
            </w:pPr>
            <w:r>
              <w:rPr>
                <w:sz w:val="4"/>
                <w:szCs w:val="4"/>
              </w:rPr>
            </w:r>
          </w:p>
        </w:tc>
      </w:tr>
      <w:tr>
        <w:trPr/>
        <w:tc>
          <w:tcPr>
            <w:tcW w:w="2932" w:type="dxa"/>
            <w:tcBorders/>
          </w:tcPr>
          <w:p>
            <w:pPr>
              <w:pStyle w:val="TableContents"/>
              <w:bidi w:val="0"/>
              <w:spacing w:before="0" w:after="283"/>
              <w:jc w:val="left"/>
              <w:rPr/>
            </w:pPr>
            <w:r>
              <w:rPr/>
              <w:t>“</w:t>
            </w:r>
            <w:r>
              <w:rPr>
                <w:b/>
              </w:rPr>
              <w:t>Hong Kong”</w:t>
            </w:r>
          </w:p>
        </w:tc>
        <w:tc>
          <w:tcPr>
            <w:tcW w:w="120" w:type="dxa"/>
            <w:tcBorders/>
            <w:vAlign w:val="bottom"/>
          </w:tcPr>
          <w:p>
            <w:pPr>
              <w:pStyle w:val="TableContents"/>
              <w:bidi w:val="0"/>
              <w:spacing w:before="0" w:after="283"/>
              <w:jc w:val="left"/>
              <w:rPr/>
            </w:pPr>
            <w:r>
              <w:rPr/>
              <w:t>  </w:t>
            </w:r>
          </w:p>
        </w:tc>
        <w:tc>
          <w:tcPr>
            <w:tcW w:w="7153" w:type="dxa"/>
            <w:tcBorders/>
          </w:tcPr>
          <w:p>
            <w:pPr>
              <w:pStyle w:val="TableContents"/>
              <w:bidi w:val="0"/>
              <w:spacing w:before="0" w:after="283"/>
              <w:jc w:val="left"/>
              <w:rPr/>
            </w:pPr>
            <w:r>
              <w:rPr/>
              <w:t>the Hong Kong Special Administrative Region of the People’s Republic of China</w:t>
            </w:r>
          </w:p>
        </w:tc>
      </w:tr>
      <w:tr>
        <w:trPr>
          <w:trHeight w:val="120" w:hRule="atLeast"/>
        </w:trPr>
        <w:tc>
          <w:tcPr>
            <w:tcW w:w="2932" w:type="dxa"/>
            <w:tcBorders/>
            <w:vAlign w:val="center"/>
          </w:tcPr>
          <w:p>
            <w:pPr>
              <w:pStyle w:val="TableContents"/>
              <w:bidi w:val="0"/>
              <w:spacing w:before="0" w:after="283"/>
              <w:jc w:val="left"/>
              <w:rPr>
                <w:sz w:val="4"/>
                <w:szCs w:val="4"/>
              </w:rPr>
            </w:pPr>
            <w:r>
              <w:rPr>
                <w:sz w:val="4"/>
                <w:szCs w:val="4"/>
              </w:rPr>
            </w:r>
          </w:p>
        </w:tc>
        <w:tc>
          <w:tcPr>
            <w:tcW w:w="7273" w:type="dxa"/>
            <w:gridSpan w:val="2"/>
            <w:tcBorders/>
            <w:vAlign w:val="center"/>
          </w:tcPr>
          <w:p>
            <w:pPr>
              <w:pStyle w:val="TableContents"/>
              <w:bidi w:val="0"/>
              <w:spacing w:before="0" w:after="283"/>
              <w:jc w:val="left"/>
              <w:rPr>
                <w:sz w:val="4"/>
                <w:szCs w:val="4"/>
              </w:rPr>
            </w:pPr>
            <w:r>
              <w:rPr>
                <w:sz w:val="4"/>
                <w:szCs w:val="4"/>
              </w:rPr>
            </w:r>
          </w:p>
        </w:tc>
      </w:tr>
      <w:tr>
        <w:trPr/>
        <w:tc>
          <w:tcPr>
            <w:tcW w:w="2932" w:type="dxa"/>
            <w:tcBorders/>
          </w:tcPr>
          <w:p>
            <w:pPr>
              <w:pStyle w:val="TableContents"/>
              <w:bidi w:val="0"/>
              <w:spacing w:before="0" w:after="283"/>
              <w:jc w:val="left"/>
              <w:rPr/>
            </w:pPr>
            <w:r>
              <w:rPr/>
              <w:t>“</w:t>
            </w:r>
            <w:r>
              <w:rPr>
                <w:b/>
              </w:rPr>
              <w:t>Hong Kong Stock Exchange”</w:t>
            </w:r>
          </w:p>
        </w:tc>
        <w:tc>
          <w:tcPr>
            <w:tcW w:w="120" w:type="dxa"/>
            <w:tcBorders/>
            <w:vAlign w:val="bottom"/>
          </w:tcPr>
          <w:p>
            <w:pPr>
              <w:pStyle w:val="TableContents"/>
              <w:bidi w:val="0"/>
              <w:spacing w:before="0" w:after="283"/>
              <w:jc w:val="left"/>
              <w:rPr/>
            </w:pPr>
            <w:r>
              <w:rPr/>
              <w:t>  </w:t>
            </w:r>
          </w:p>
        </w:tc>
        <w:tc>
          <w:tcPr>
            <w:tcW w:w="7153" w:type="dxa"/>
            <w:tcBorders/>
          </w:tcPr>
          <w:p>
            <w:pPr>
              <w:pStyle w:val="TableContents"/>
              <w:bidi w:val="0"/>
              <w:spacing w:before="0" w:after="283"/>
              <w:jc w:val="left"/>
              <w:rPr/>
            </w:pPr>
            <w:r>
              <w:rPr/>
              <w:t>The Stock Exchange of Hong Kong Limited</w:t>
            </w:r>
          </w:p>
        </w:tc>
      </w:tr>
      <w:tr>
        <w:trPr>
          <w:trHeight w:val="120" w:hRule="atLeast"/>
        </w:trPr>
        <w:tc>
          <w:tcPr>
            <w:tcW w:w="2932" w:type="dxa"/>
            <w:tcBorders/>
            <w:vAlign w:val="center"/>
          </w:tcPr>
          <w:p>
            <w:pPr>
              <w:pStyle w:val="TableContents"/>
              <w:bidi w:val="0"/>
              <w:spacing w:before="0" w:after="283"/>
              <w:jc w:val="left"/>
              <w:rPr>
                <w:sz w:val="4"/>
                <w:szCs w:val="4"/>
              </w:rPr>
            </w:pPr>
            <w:r>
              <w:rPr>
                <w:sz w:val="4"/>
                <w:szCs w:val="4"/>
              </w:rPr>
            </w:r>
          </w:p>
        </w:tc>
        <w:tc>
          <w:tcPr>
            <w:tcW w:w="7273" w:type="dxa"/>
            <w:gridSpan w:val="2"/>
            <w:tcBorders/>
            <w:vAlign w:val="center"/>
          </w:tcPr>
          <w:p>
            <w:pPr>
              <w:pStyle w:val="TableContents"/>
              <w:bidi w:val="0"/>
              <w:spacing w:before="0" w:after="283"/>
              <w:jc w:val="left"/>
              <w:rPr>
                <w:sz w:val="4"/>
                <w:szCs w:val="4"/>
              </w:rPr>
            </w:pPr>
            <w:r>
              <w:rPr>
                <w:sz w:val="4"/>
                <w:szCs w:val="4"/>
              </w:rPr>
            </w:r>
          </w:p>
        </w:tc>
      </w:tr>
      <w:tr>
        <w:trPr/>
        <w:tc>
          <w:tcPr>
            <w:tcW w:w="2932" w:type="dxa"/>
            <w:tcBorders/>
          </w:tcPr>
          <w:p>
            <w:pPr>
              <w:pStyle w:val="TableContents"/>
              <w:bidi w:val="0"/>
              <w:spacing w:before="0" w:after="283"/>
              <w:jc w:val="left"/>
              <w:rPr/>
            </w:pPr>
            <w:r>
              <w:rPr/>
              <w:t>“</w:t>
            </w:r>
            <w:r>
              <w:rPr>
                <w:b/>
              </w:rPr>
              <w:t>Industry Research Consultants”</w:t>
            </w:r>
          </w:p>
        </w:tc>
        <w:tc>
          <w:tcPr>
            <w:tcW w:w="120" w:type="dxa"/>
            <w:tcBorders/>
            <w:vAlign w:val="bottom"/>
          </w:tcPr>
          <w:p>
            <w:pPr>
              <w:pStyle w:val="TableContents"/>
              <w:bidi w:val="0"/>
              <w:spacing w:before="0" w:after="283"/>
              <w:jc w:val="left"/>
              <w:rPr/>
            </w:pPr>
            <w:r>
              <w:rPr/>
              <w:t>  </w:t>
            </w:r>
          </w:p>
        </w:tc>
        <w:tc>
          <w:tcPr>
            <w:tcW w:w="7153" w:type="dxa"/>
            <w:tcBorders/>
          </w:tcPr>
          <w:p>
            <w:pPr>
              <w:pStyle w:val="TableContents"/>
              <w:bidi w:val="0"/>
              <w:spacing w:before="0" w:after="283"/>
              <w:jc w:val="left"/>
              <w:rPr/>
            </w:pPr>
            <w:r>
              <w:rPr/>
              <w:t>persons who provide industry research and strategic consulting services to the Group in relation to product, professional technology, research and development, operations, marketing, capital market, experience and other professional areas, and in the opinion of the Directors, the continuity and frequency of those services are akin to those of employees of the Group</w:t>
            </w:r>
          </w:p>
        </w:tc>
      </w:tr>
      <w:tr>
        <w:trPr>
          <w:trHeight w:val="120" w:hRule="atLeast"/>
        </w:trPr>
        <w:tc>
          <w:tcPr>
            <w:tcW w:w="2932" w:type="dxa"/>
            <w:tcBorders/>
            <w:vAlign w:val="center"/>
          </w:tcPr>
          <w:p>
            <w:pPr>
              <w:pStyle w:val="TableContents"/>
              <w:bidi w:val="0"/>
              <w:spacing w:before="0" w:after="283"/>
              <w:jc w:val="left"/>
              <w:rPr>
                <w:sz w:val="4"/>
                <w:szCs w:val="4"/>
              </w:rPr>
            </w:pPr>
            <w:r>
              <w:rPr>
                <w:sz w:val="4"/>
                <w:szCs w:val="4"/>
              </w:rPr>
            </w:r>
          </w:p>
        </w:tc>
        <w:tc>
          <w:tcPr>
            <w:tcW w:w="7273" w:type="dxa"/>
            <w:gridSpan w:val="2"/>
            <w:tcBorders/>
            <w:vAlign w:val="center"/>
          </w:tcPr>
          <w:p>
            <w:pPr>
              <w:pStyle w:val="TableContents"/>
              <w:bidi w:val="0"/>
              <w:spacing w:before="0" w:after="283"/>
              <w:jc w:val="left"/>
              <w:rPr>
                <w:sz w:val="4"/>
                <w:szCs w:val="4"/>
              </w:rPr>
            </w:pPr>
            <w:r>
              <w:rPr>
                <w:sz w:val="4"/>
                <w:szCs w:val="4"/>
              </w:rPr>
            </w:r>
          </w:p>
        </w:tc>
      </w:tr>
      <w:tr>
        <w:trPr/>
        <w:tc>
          <w:tcPr>
            <w:tcW w:w="2932" w:type="dxa"/>
            <w:tcBorders/>
          </w:tcPr>
          <w:p>
            <w:pPr>
              <w:pStyle w:val="TableContents"/>
              <w:bidi w:val="0"/>
              <w:spacing w:before="0" w:after="283"/>
              <w:jc w:val="left"/>
              <w:rPr/>
            </w:pPr>
            <w:r>
              <w:rPr/>
              <w:t>“</w:t>
            </w:r>
            <w:r>
              <w:rPr>
                <w:b/>
              </w:rPr>
              <w:t>Listing Rules”</w:t>
            </w:r>
          </w:p>
        </w:tc>
        <w:tc>
          <w:tcPr>
            <w:tcW w:w="120" w:type="dxa"/>
            <w:tcBorders/>
            <w:vAlign w:val="bottom"/>
          </w:tcPr>
          <w:p>
            <w:pPr>
              <w:pStyle w:val="TableContents"/>
              <w:bidi w:val="0"/>
              <w:spacing w:before="0" w:after="283"/>
              <w:jc w:val="left"/>
              <w:rPr/>
            </w:pPr>
            <w:r>
              <w:rPr/>
              <w:t>  </w:t>
            </w:r>
          </w:p>
        </w:tc>
        <w:tc>
          <w:tcPr>
            <w:tcW w:w="7153" w:type="dxa"/>
            <w:tcBorders/>
          </w:tcPr>
          <w:p>
            <w:pPr>
              <w:pStyle w:val="TableContents"/>
              <w:bidi w:val="0"/>
              <w:spacing w:before="0" w:after="283"/>
              <w:jc w:val="left"/>
              <w:rPr/>
            </w:pPr>
            <w:r>
              <w:rPr/>
              <w:t>the Rules Governing the Listing of Securities on The Stock Exchange of Hong Kong Limited</w:t>
            </w:r>
          </w:p>
        </w:tc>
      </w:tr>
      <w:tr>
        <w:trPr>
          <w:trHeight w:val="120" w:hRule="atLeast"/>
        </w:trPr>
        <w:tc>
          <w:tcPr>
            <w:tcW w:w="2932" w:type="dxa"/>
            <w:tcBorders/>
            <w:vAlign w:val="center"/>
          </w:tcPr>
          <w:p>
            <w:pPr>
              <w:pStyle w:val="TableContents"/>
              <w:bidi w:val="0"/>
              <w:spacing w:before="0" w:after="283"/>
              <w:jc w:val="left"/>
              <w:rPr>
                <w:sz w:val="4"/>
                <w:szCs w:val="4"/>
              </w:rPr>
            </w:pPr>
            <w:r>
              <w:rPr>
                <w:sz w:val="4"/>
                <w:szCs w:val="4"/>
              </w:rPr>
            </w:r>
          </w:p>
        </w:tc>
        <w:tc>
          <w:tcPr>
            <w:tcW w:w="7273" w:type="dxa"/>
            <w:gridSpan w:val="2"/>
            <w:tcBorders/>
            <w:vAlign w:val="center"/>
          </w:tcPr>
          <w:p>
            <w:pPr>
              <w:pStyle w:val="TableContents"/>
              <w:bidi w:val="0"/>
              <w:spacing w:before="0" w:after="283"/>
              <w:jc w:val="left"/>
              <w:rPr>
                <w:sz w:val="4"/>
                <w:szCs w:val="4"/>
              </w:rPr>
            </w:pPr>
            <w:r>
              <w:rPr>
                <w:sz w:val="4"/>
                <w:szCs w:val="4"/>
              </w:rPr>
            </w:r>
          </w:p>
        </w:tc>
      </w:tr>
      <w:tr>
        <w:trPr/>
        <w:tc>
          <w:tcPr>
            <w:tcW w:w="2932" w:type="dxa"/>
            <w:tcBorders/>
          </w:tcPr>
          <w:p>
            <w:pPr>
              <w:pStyle w:val="TableContents"/>
              <w:bidi w:val="0"/>
              <w:spacing w:before="0" w:after="283"/>
              <w:jc w:val="left"/>
              <w:rPr/>
            </w:pPr>
            <w:r>
              <w:rPr/>
              <w:t>“</w:t>
            </w:r>
            <w:r>
              <w:rPr>
                <w:b/>
              </w:rPr>
              <w:t>Option”</w:t>
            </w:r>
          </w:p>
        </w:tc>
        <w:tc>
          <w:tcPr>
            <w:tcW w:w="120" w:type="dxa"/>
            <w:tcBorders/>
            <w:vAlign w:val="bottom"/>
          </w:tcPr>
          <w:p>
            <w:pPr>
              <w:pStyle w:val="TableContents"/>
              <w:bidi w:val="0"/>
              <w:spacing w:before="0" w:after="283"/>
              <w:jc w:val="left"/>
              <w:rPr/>
            </w:pPr>
            <w:r>
              <w:rPr/>
              <w:t>  </w:t>
            </w:r>
          </w:p>
        </w:tc>
        <w:tc>
          <w:tcPr>
            <w:tcW w:w="7153" w:type="dxa"/>
            <w:tcBorders/>
          </w:tcPr>
          <w:p>
            <w:pPr>
              <w:pStyle w:val="TableContents"/>
              <w:bidi w:val="0"/>
              <w:spacing w:before="0" w:after="283"/>
              <w:jc w:val="left"/>
              <w:rPr/>
            </w:pPr>
            <w:r>
              <w:rPr/>
              <w:t>an option to subscribe for Class A ordinary shares (including in the form of ADSs) granted pursuant to the terms of the 2025 Share Incentive Scheme</w:t>
            </w:r>
          </w:p>
        </w:tc>
      </w:tr>
      <w:tr>
        <w:trPr>
          <w:trHeight w:val="120" w:hRule="atLeast"/>
        </w:trPr>
        <w:tc>
          <w:tcPr>
            <w:tcW w:w="2932" w:type="dxa"/>
            <w:tcBorders/>
            <w:vAlign w:val="center"/>
          </w:tcPr>
          <w:p>
            <w:pPr>
              <w:pStyle w:val="TableContents"/>
              <w:bidi w:val="0"/>
              <w:spacing w:before="0" w:after="283"/>
              <w:jc w:val="left"/>
              <w:rPr>
                <w:sz w:val="4"/>
                <w:szCs w:val="4"/>
              </w:rPr>
            </w:pPr>
            <w:r>
              <w:rPr>
                <w:sz w:val="4"/>
                <w:szCs w:val="4"/>
              </w:rPr>
            </w:r>
          </w:p>
        </w:tc>
        <w:tc>
          <w:tcPr>
            <w:tcW w:w="7273" w:type="dxa"/>
            <w:gridSpan w:val="2"/>
            <w:tcBorders/>
            <w:vAlign w:val="center"/>
          </w:tcPr>
          <w:p>
            <w:pPr>
              <w:pStyle w:val="TableContents"/>
              <w:bidi w:val="0"/>
              <w:spacing w:before="0" w:after="283"/>
              <w:jc w:val="left"/>
              <w:rPr>
                <w:sz w:val="4"/>
                <w:szCs w:val="4"/>
              </w:rPr>
            </w:pPr>
            <w:r>
              <w:rPr>
                <w:sz w:val="4"/>
                <w:szCs w:val="4"/>
              </w:rPr>
            </w:r>
          </w:p>
        </w:tc>
      </w:tr>
      <w:tr>
        <w:trPr/>
        <w:tc>
          <w:tcPr>
            <w:tcW w:w="2932" w:type="dxa"/>
            <w:tcBorders/>
          </w:tcPr>
          <w:p>
            <w:pPr>
              <w:pStyle w:val="TableContents"/>
              <w:bidi w:val="0"/>
              <w:spacing w:before="0" w:after="283"/>
              <w:jc w:val="left"/>
              <w:rPr/>
            </w:pPr>
            <w:r>
              <w:rPr/>
              <w:t>“</w:t>
            </w:r>
            <w:r>
              <w:rPr>
                <w:b/>
              </w:rPr>
              <w:t>Other Service Providers”</w:t>
            </w:r>
          </w:p>
        </w:tc>
        <w:tc>
          <w:tcPr>
            <w:tcW w:w="120" w:type="dxa"/>
            <w:tcBorders/>
            <w:vAlign w:val="bottom"/>
          </w:tcPr>
          <w:p>
            <w:pPr>
              <w:pStyle w:val="TableContents"/>
              <w:bidi w:val="0"/>
              <w:spacing w:before="0" w:after="283"/>
              <w:jc w:val="left"/>
              <w:rPr/>
            </w:pPr>
            <w:r>
              <w:rPr/>
              <w:t>  </w:t>
            </w:r>
          </w:p>
        </w:tc>
        <w:tc>
          <w:tcPr>
            <w:tcW w:w="7153" w:type="dxa"/>
            <w:tcBorders/>
          </w:tcPr>
          <w:p>
            <w:pPr>
              <w:pStyle w:val="TableContents"/>
              <w:bidi w:val="0"/>
              <w:spacing w:before="0" w:after="283"/>
              <w:jc w:val="left"/>
              <w:rPr/>
            </w:pPr>
            <w:r>
              <w:rPr/>
              <w:t>independent contractors, consultants and/or advisors who provide services to the Group in relation to research and development, product commercialization, marketing, innovation upgrading, strategic/ commercial planning, investor relations, human resources, business development and corporate governance areas on a continuing and recurring basis in its ordinary and usual course of business which are in the interests of the long term growth of the Group</w:t>
            </w:r>
          </w:p>
        </w:tc>
      </w:tr>
      <w:tr>
        <w:trPr>
          <w:trHeight w:val="120" w:hRule="atLeast"/>
        </w:trPr>
        <w:tc>
          <w:tcPr>
            <w:tcW w:w="2932" w:type="dxa"/>
            <w:tcBorders/>
            <w:vAlign w:val="center"/>
          </w:tcPr>
          <w:p>
            <w:pPr>
              <w:pStyle w:val="TableContents"/>
              <w:bidi w:val="0"/>
              <w:spacing w:before="0" w:after="283"/>
              <w:jc w:val="left"/>
              <w:rPr>
                <w:sz w:val="4"/>
                <w:szCs w:val="4"/>
              </w:rPr>
            </w:pPr>
            <w:r>
              <w:rPr>
                <w:sz w:val="4"/>
                <w:szCs w:val="4"/>
              </w:rPr>
            </w:r>
          </w:p>
        </w:tc>
        <w:tc>
          <w:tcPr>
            <w:tcW w:w="7273" w:type="dxa"/>
            <w:gridSpan w:val="2"/>
            <w:tcBorders/>
            <w:vAlign w:val="center"/>
          </w:tcPr>
          <w:p>
            <w:pPr>
              <w:pStyle w:val="TableContents"/>
              <w:bidi w:val="0"/>
              <w:spacing w:before="0" w:after="283"/>
              <w:jc w:val="left"/>
              <w:rPr>
                <w:sz w:val="4"/>
                <w:szCs w:val="4"/>
              </w:rPr>
            </w:pPr>
            <w:r>
              <w:rPr>
                <w:sz w:val="4"/>
                <w:szCs w:val="4"/>
              </w:rPr>
            </w:r>
          </w:p>
        </w:tc>
      </w:tr>
      <w:tr>
        <w:trPr/>
        <w:tc>
          <w:tcPr>
            <w:tcW w:w="2932" w:type="dxa"/>
            <w:tcBorders/>
          </w:tcPr>
          <w:p>
            <w:pPr>
              <w:pStyle w:val="TableContents"/>
              <w:bidi w:val="0"/>
              <w:spacing w:before="0" w:after="283"/>
              <w:jc w:val="left"/>
              <w:rPr/>
            </w:pPr>
            <w:r>
              <w:rPr/>
              <w:t>“</w:t>
            </w:r>
            <w:r>
              <w:rPr>
                <w:b/>
              </w:rPr>
              <w:t>Related Entity Participant(s)”</w:t>
            </w:r>
          </w:p>
        </w:tc>
        <w:tc>
          <w:tcPr>
            <w:tcW w:w="120" w:type="dxa"/>
            <w:tcBorders/>
            <w:vAlign w:val="bottom"/>
          </w:tcPr>
          <w:p>
            <w:pPr>
              <w:pStyle w:val="TableContents"/>
              <w:bidi w:val="0"/>
              <w:spacing w:before="0" w:after="283"/>
              <w:jc w:val="left"/>
              <w:rPr/>
            </w:pPr>
            <w:r>
              <w:rPr/>
              <w:t>  </w:t>
            </w:r>
          </w:p>
        </w:tc>
        <w:tc>
          <w:tcPr>
            <w:tcW w:w="7153" w:type="dxa"/>
            <w:tcBorders/>
          </w:tcPr>
          <w:p>
            <w:pPr>
              <w:pStyle w:val="TableContents"/>
              <w:bidi w:val="0"/>
              <w:spacing w:before="0" w:after="283"/>
              <w:jc w:val="left"/>
              <w:rPr/>
            </w:pPr>
            <w:r>
              <w:rPr/>
              <w:t>director(s) and employee(s) of the holding companies, fellow subsidiaries or associated companies of the Company</w:t>
            </w:r>
          </w:p>
        </w:tc>
      </w:tr>
      <w:tr>
        <w:trPr>
          <w:trHeight w:val="120" w:hRule="atLeast"/>
        </w:trPr>
        <w:tc>
          <w:tcPr>
            <w:tcW w:w="2932" w:type="dxa"/>
            <w:tcBorders/>
            <w:vAlign w:val="center"/>
          </w:tcPr>
          <w:p>
            <w:pPr>
              <w:pStyle w:val="TableContents"/>
              <w:bidi w:val="0"/>
              <w:spacing w:before="0" w:after="283"/>
              <w:jc w:val="left"/>
              <w:rPr>
                <w:sz w:val="4"/>
                <w:szCs w:val="4"/>
              </w:rPr>
            </w:pPr>
            <w:r>
              <w:rPr>
                <w:sz w:val="4"/>
                <w:szCs w:val="4"/>
              </w:rPr>
            </w:r>
          </w:p>
        </w:tc>
        <w:tc>
          <w:tcPr>
            <w:tcW w:w="7273" w:type="dxa"/>
            <w:gridSpan w:val="2"/>
            <w:tcBorders/>
            <w:vAlign w:val="center"/>
          </w:tcPr>
          <w:p>
            <w:pPr>
              <w:pStyle w:val="TableContents"/>
              <w:bidi w:val="0"/>
              <w:spacing w:before="0" w:after="283"/>
              <w:jc w:val="left"/>
              <w:rPr>
                <w:sz w:val="4"/>
                <w:szCs w:val="4"/>
              </w:rPr>
            </w:pPr>
            <w:r>
              <w:rPr>
                <w:sz w:val="4"/>
                <w:szCs w:val="4"/>
              </w:rPr>
            </w:r>
          </w:p>
        </w:tc>
      </w:tr>
      <w:tr>
        <w:trPr/>
        <w:tc>
          <w:tcPr>
            <w:tcW w:w="2932" w:type="dxa"/>
            <w:tcBorders/>
          </w:tcPr>
          <w:p>
            <w:pPr>
              <w:pStyle w:val="TableContents"/>
              <w:bidi w:val="0"/>
              <w:spacing w:before="0" w:after="283"/>
              <w:jc w:val="left"/>
              <w:rPr/>
            </w:pPr>
            <w:r>
              <w:rPr/>
              <w:t>“</w:t>
            </w:r>
            <w:r>
              <w:rPr>
                <w:b/>
              </w:rPr>
              <w:t>RSU(s)”</w:t>
            </w:r>
          </w:p>
        </w:tc>
        <w:tc>
          <w:tcPr>
            <w:tcW w:w="120" w:type="dxa"/>
            <w:tcBorders/>
            <w:vAlign w:val="bottom"/>
          </w:tcPr>
          <w:p>
            <w:pPr>
              <w:pStyle w:val="TableContents"/>
              <w:bidi w:val="0"/>
              <w:spacing w:before="0" w:after="283"/>
              <w:jc w:val="left"/>
              <w:rPr/>
            </w:pPr>
            <w:r>
              <w:rPr/>
              <w:t>  </w:t>
            </w:r>
          </w:p>
        </w:tc>
        <w:tc>
          <w:tcPr>
            <w:tcW w:w="7153" w:type="dxa"/>
            <w:tcBorders/>
          </w:tcPr>
          <w:p>
            <w:pPr>
              <w:pStyle w:val="TableContents"/>
              <w:bidi w:val="0"/>
              <w:spacing w:before="0" w:after="283"/>
              <w:jc w:val="left"/>
              <w:rPr/>
            </w:pPr>
            <w:r>
              <w:rPr/>
              <w:t>restricted share unit(s) conferring the Grantee a conditional right to obtain either Class A ordinary shares (including in the form of ADSs) or an equivalent value in cash with reference to the market value of the Class A ordinary shares on or about the date of vesting, as determined by the Board or its delegate(s) in its absolute discretion, less any tax, fees, levies, stamp duty and other charges applicable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2971"/>
        <w:gridCol w:w="120"/>
        <w:gridCol w:w="7114"/>
      </w:tblGrid>
      <w:tr>
        <w:trPr/>
        <w:tc>
          <w:tcPr>
            <w:tcW w:w="297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114"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2971" w:type="dxa"/>
            <w:tcBorders/>
            <w:vAlign w:val="center"/>
          </w:tcPr>
          <w:p>
            <w:pPr>
              <w:pStyle w:val="TableContents"/>
              <w:bidi w:val="0"/>
              <w:spacing w:before="0" w:after="283"/>
              <w:jc w:val="left"/>
              <w:rPr>
                <w:sz w:val="4"/>
                <w:szCs w:val="4"/>
              </w:rPr>
            </w:pPr>
            <w:r>
              <w:rPr>
                <w:sz w:val="4"/>
                <w:szCs w:val="4"/>
              </w:rPr>
            </w:r>
          </w:p>
        </w:tc>
        <w:tc>
          <w:tcPr>
            <w:tcW w:w="7234" w:type="dxa"/>
            <w:gridSpan w:val="2"/>
            <w:tcBorders/>
            <w:vAlign w:val="center"/>
          </w:tcPr>
          <w:p>
            <w:pPr>
              <w:pStyle w:val="TableContents"/>
              <w:bidi w:val="0"/>
              <w:spacing w:before="0" w:after="283"/>
              <w:jc w:val="left"/>
              <w:rPr>
                <w:sz w:val="4"/>
                <w:szCs w:val="4"/>
              </w:rPr>
            </w:pPr>
            <w:r>
              <w:rPr>
                <w:sz w:val="4"/>
                <w:szCs w:val="4"/>
              </w:rPr>
            </w:r>
          </w:p>
        </w:tc>
      </w:tr>
      <w:tr>
        <w:trPr/>
        <w:tc>
          <w:tcPr>
            <w:tcW w:w="2971" w:type="dxa"/>
            <w:tcBorders/>
          </w:tcPr>
          <w:p>
            <w:pPr>
              <w:pStyle w:val="TableContents"/>
              <w:bidi w:val="0"/>
              <w:spacing w:before="0" w:after="283"/>
              <w:jc w:val="left"/>
              <w:rPr/>
            </w:pPr>
            <w:r>
              <w:rPr/>
              <w:t>“</w:t>
            </w:r>
            <w:r>
              <w:rPr>
                <w:b/>
              </w:rPr>
              <w:t>Service Provider”</w:t>
            </w:r>
          </w:p>
        </w:tc>
        <w:tc>
          <w:tcPr>
            <w:tcW w:w="120" w:type="dxa"/>
            <w:tcBorders/>
            <w:vAlign w:val="bottom"/>
          </w:tcPr>
          <w:p>
            <w:pPr>
              <w:pStyle w:val="TableContents"/>
              <w:bidi w:val="0"/>
              <w:spacing w:before="0" w:after="283"/>
              <w:jc w:val="left"/>
              <w:rPr/>
            </w:pPr>
            <w:r>
              <w:rPr/>
              <w:t>  </w:t>
            </w:r>
          </w:p>
        </w:tc>
        <w:tc>
          <w:tcPr>
            <w:tcW w:w="7114" w:type="dxa"/>
            <w:tcBorders/>
          </w:tcPr>
          <w:p>
            <w:pPr>
              <w:pStyle w:val="TableContents"/>
              <w:bidi w:val="0"/>
              <w:spacing w:before="0" w:after="283"/>
              <w:jc w:val="left"/>
              <w:rPr/>
            </w:pPr>
            <w:r>
              <w:rPr/>
              <w:t>person(s) and/or corporate entity(ies) who provide(s) services to the Group on a continuing and recurring basis in its ordinary and usual course of business which are in the interests of the long term growth of the Group, namely the Strategic Consulting Consultants, Industry Research Consultants, and Other Service Providers, but excluding (for the avoidance of doubt) (i) placing agents or financial advisers providing advisory services for fund-raising, mergers or acquisitions, (ii) professional service providers (such as auditors or valuers) who provide assurance, or are required to perform their services with impartiality and objectivity</w:t>
            </w:r>
          </w:p>
        </w:tc>
      </w:tr>
      <w:tr>
        <w:trPr>
          <w:trHeight w:val="120" w:hRule="atLeast"/>
        </w:trPr>
        <w:tc>
          <w:tcPr>
            <w:tcW w:w="2971" w:type="dxa"/>
            <w:tcBorders/>
            <w:vAlign w:val="center"/>
          </w:tcPr>
          <w:p>
            <w:pPr>
              <w:pStyle w:val="TableContents"/>
              <w:bidi w:val="0"/>
              <w:spacing w:before="0" w:after="283"/>
              <w:jc w:val="left"/>
              <w:rPr>
                <w:sz w:val="4"/>
                <w:szCs w:val="4"/>
              </w:rPr>
            </w:pPr>
            <w:r>
              <w:rPr>
                <w:sz w:val="4"/>
                <w:szCs w:val="4"/>
              </w:rPr>
            </w:r>
          </w:p>
        </w:tc>
        <w:tc>
          <w:tcPr>
            <w:tcW w:w="7234" w:type="dxa"/>
            <w:gridSpan w:val="2"/>
            <w:tcBorders/>
            <w:vAlign w:val="center"/>
          </w:tcPr>
          <w:p>
            <w:pPr>
              <w:pStyle w:val="TableContents"/>
              <w:bidi w:val="0"/>
              <w:spacing w:before="0" w:after="283"/>
              <w:jc w:val="left"/>
              <w:rPr>
                <w:sz w:val="4"/>
                <w:szCs w:val="4"/>
              </w:rPr>
            </w:pPr>
            <w:r>
              <w:rPr>
                <w:sz w:val="4"/>
                <w:szCs w:val="4"/>
              </w:rPr>
            </w:r>
          </w:p>
        </w:tc>
      </w:tr>
      <w:tr>
        <w:trPr/>
        <w:tc>
          <w:tcPr>
            <w:tcW w:w="2971" w:type="dxa"/>
            <w:tcBorders/>
          </w:tcPr>
          <w:p>
            <w:pPr>
              <w:pStyle w:val="TableContents"/>
              <w:bidi w:val="0"/>
              <w:spacing w:before="0" w:after="283"/>
              <w:jc w:val="left"/>
              <w:rPr/>
            </w:pPr>
            <w:r>
              <w:rPr/>
              <w:t>“</w:t>
            </w:r>
            <w:r>
              <w:rPr>
                <w:b/>
              </w:rPr>
              <w:t>Share(s)”</w:t>
            </w:r>
          </w:p>
        </w:tc>
        <w:tc>
          <w:tcPr>
            <w:tcW w:w="120" w:type="dxa"/>
            <w:tcBorders/>
            <w:vAlign w:val="bottom"/>
          </w:tcPr>
          <w:p>
            <w:pPr>
              <w:pStyle w:val="TableContents"/>
              <w:bidi w:val="0"/>
              <w:spacing w:before="0" w:after="283"/>
              <w:jc w:val="left"/>
              <w:rPr/>
            </w:pPr>
            <w:r>
              <w:rPr/>
              <w:t>  </w:t>
            </w:r>
          </w:p>
        </w:tc>
        <w:tc>
          <w:tcPr>
            <w:tcW w:w="7114" w:type="dxa"/>
            <w:tcBorders/>
          </w:tcPr>
          <w:p>
            <w:pPr>
              <w:pStyle w:val="TableContents"/>
              <w:bidi w:val="0"/>
              <w:spacing w:before="0" w:after="283"/>
              <w:jc w:val="left"/>
              <w:rPr/>
            </w:pPr>
            <w:r>
              <w:rPr/>
              <w:t>the Class A ordinary shares and Class B ordinary shares in the share capital of the Company, as the context so requires</w:t>
            </w:r>
          </w:p>
        </w:tc>
      </w:tr>
      <w:tr>
        <w:trPr>
          <w:trHeight w:val="120" w:hRule="atLeast"/>
        </w:trPr>
        <w:tc>
          <w:tcPr>
            <w:tcW w:w="2971" w:type="dxa"/>
            <w:tcBorders/>
            <w:vAlign w:val="center"/>
          </w:tcPr>
          <w:p>
            <w:pPr>
              <w:pStyle w:val="TableContents"/>
              <w:bidi w:val="0"/>
              <w:spacing w:before="0" w:after="283"/>
              <w:jc w:val="left"/>
              <w:rPr>
                <w:sz w:val="4"/>
                <w:szCs w:val="4"/>
              </w:rPr>
            </w:pPr>
            <w:r>
              <w:rPr>
                <w:sz w:val="4"/>
                <w:szCs w:val="4"/>
              </w:rPr>
            </w:r>
          </w:p>
        </w:tc>
        <w:tc>
          <w:tcPr>
            <w:tcW w:w="7234" w:type="dxa"/>
            <w:gridSpan w:val="2"/>
            <w:tcBorders/>
            <w:vAlign w:val="center"/>
          </w:tcPr>
          <w:p>
            <w:pPr>
              <w:pStyle w:val="TableContents"/>
              <w:bidi w:val="0"/>
              <w:spacing w:before="0" w:after="283"/>
              <w:jc w:val="left"/>
              <w:rPr>
                <w:sz w:val="4"/>
                <w:szCs w:val="4"/>
              </w:rPr>
            </w:pPr>
            <w:r>
              <w:rPr>
                <w:sz w:val="4"/>
                <w:szCs w:val="4"/>
              </w:rPr>
            </w:r>
          </w:p>
        </w:tc>
      </w:tr>
      <w:tr>
        <w:trPr/>
        <w:tc>
          <w:tcPr>
            <w:tcW w:w="2971" w:type="dxa"/>
            <w:tcBorders/>
          </w:tcPr>
          <w:p>
            <w:pPr>
              <w:pStyle w:val="TableContents"/>
              <w:bidi w:val="0"/>
              <w:spacing w:before="0" w:after="283"/>
              <w:jc w:val="left"/>
              <w:rPr/>
            </w:pPr>
            <w:r>
              <w:rPr/>
              <w:t>“</w:t>
            </w:r>
            <w:r>
              <w:rPr>
                <w:b/>
              </w:rPr>
              <w:t>Shareholder(s)”</w:t>
            </w:r>
          </w:p>
        </w:tc>
        <w:tc>
          <w:tcPr>
            <w:tcW w:w="120" w:type="dxa"/>
            <w:tcBorders/>
            <w:vAlign w:val="bottom"/>
          </w:tcPr>
          <w:p>
            <w:pPr>
              <w:pStyle w:val="TableContents"/>
              <w:bidi w:val="0"/>
              <w:spacing w:before="0" w:after="283"/>
              <w:jc w:val="left"/>
              <w:rPr/>
            </w:pPr>
            <w:r>
              <w:rPr/>
              <w:t>  </w:t>
            </w:r>
          </w:p>
        </w:tc>
        <w:tc>
          <w:tcPr>
            <w:tcW w:w="7114" w:type="dxa"/>
            <w:tcBorders/>
          </w:tcPr>
          <w:p>
            <w:pPr>
              <w:pStyle w:val="TableContents"/>
              <w:bidi w:val="0"/>
              <w:spacing w:before="0" w:after="283"/>
              <w:jc w:val="left"/>
              <w:rPr/>
            </w:pPr>
            <w:r>
              <w:rPr/>
              <w:t>holder(s) of Shares and, where the context requires, ADSs</w:t>
            </w:r>
          </w:p>
        </w:tc>
      </w:tr>
      <w:tr>
        <w:trPr>
          <w:trHeight w:val="120" w:hRule="atLeast"/>
        </w:trPr>
        <w:tc>
          <w:tcPr>
            <w:tcW w:w="2971" w:type="dxa"/>
            <w:tcBorders/>
            <w:vAlign w:val="center"/>
          </w:tcPr>
          <w:p>
            <w:pPr>
              <w:pStyle w:val="TableContents"/>
              <w:bidi w:val="0"/>
              <w:spacing w:before="0" w:after="283"/>
              <w:jc w:val="left"/>
              <w:rPr>
                <w:sz w:val="4"/>
                <w:szCs w:val="4"/>
              </w:rPr>
            </w:pPr>
            <w:r>
              <w:rPr>
                <w:sz w:val="4"/>
                <w:szCs w:val="4"/>
              </w:rPr>
            </w:r>
          </w:p>
        </w:tc>
        <w:tc>
          <w:tcPr>
            <w:tcW w:w="7234" w:type="dxa"/>
            <w:gridSpan w:val="2"/>
            <w:tcBorders/>
            <w:vAlign w:val="center"/>
          </w:tcPr>
          <w:p>
            <w:pPr>
              <w:pStyle w:val="TableContents"/>
              <w:bidi w:val="0"/>
              <w:spacing w:before="0" w:after="283"/>
              <w:jc w:val="left"/>
              <w:rPr>
                <w:sz w:val="4"/>
                <w:szCs w:val="4"/>
              </w:rPr>
            </w:pPr>
            <w:r>
              <w:rPr>
                <w:sz w:val="4"/>
                <w:szCs w:val="4"/>
              </w:rPr>
            </w:r>
          </w:p>
        </w:tc>
      </w:tr>
      <w:tr>
        <w:trPr/>
        <w:tc>
          <w:tcPr>
            <w:tcW w:w="2971" w:type="dxa"/>
            <w:tcBorders/>
          </w:tcPr>
          <w:p>
            <w:pPr>
              <w:pStyle w:val="TableContents"/>
              <w:bidi w:val="0"/>
              <w:spacing w:before="0" w:after="283"/>
              <w:jc w:val="left"/>
              <w:rPr/>
            </w:pPr>
            <w:r>
              <w:rPr/>
              <w:t>“</w:t>
            </w:r>
            <w:r>
              <w:rPr>
                <w:b/>
              </w:rPr>
              <w:t>Strategic Consulting Consultants”</w:t>
            </w:r>
          </w:p>
        </w:tc>
        <w:tc>
          <w:tcPr>
            <w:tcW w:w="120" w:type="dxa"/>
            <w:tcBorders/>
            <w:vAlign w:val="bottom"/>
          </w:tcPr>
          <w:p>
            <w:pPr>
              <w:pStyle w:val="TableContents"/>
              <w:bidi w:val="0"/>
              <w:spacing w:before="0" w:after="283"/>
              <w:jc w:val="left"/>
              <w:rPr/>
            </w:pPr>
            <w:r>
              <w:rPr/>
              <w:t>  </w:t>
            </w:r>
          </w:p>
        </w:tc>
        <w:tc>
          <w:tcPr>
            <w:tcW w:w="7114" w:type="dxa"/>
            <w:tcBorders/>
          </w:tcPr>
          <w:p>
            <w:pPr>
              <w:pStyle w:val="TableContents"/>
              <w:bidi w:val="0"/>
              <w:spacing w:before="0" w:after="283"/>
              <w:jc w:val="left"/>
              <w:rPr/>
            </w:pPr>
            <w:r>
              <w:rPr/>
              <w:t>persons who provide strategic consulting services to the Group whose services will lead, collaborate with or optimize the businesses operated by the Group from time to time, and in the opinion of the Directors, the continuity and frequency of those services are akin to those of employees of the Group</w:t>
            </w:r>
          </w:p>
        </w:tc>
      </w:tr>
      <w:tr>
        <w:trPr>
          <w:trHeight w:val="120" w:hRule="atLeast"/>
        </w:trPr>
        <w:tc>
          <w:tcPr>
            <w:tcW w:w="2971" w:type="dxa"/>
            <w:tcBorders/>
            <w:vAlign w:val="center"/>
          </w:tcPr>
          <w:p>
            <w:pPr>
              <w:pStyle w:val="TableContents"/>
              <w:bidi w:val="0"/>
              <w:spacing w:before="0" w:after="283"/>
              <w:jc w:val="left"/>
              <w:rPr>
                <w:sz w:val="4"/>
                <w:szCs w:val="4"/>
              </w:rPr>
            </w:pPr>
            <w:r>
              <w:rPr>
                <w:sz w:val="4"/>
                <w:szCs w:val="4"/>
              </w:rPr>
            </w:r>
          </w:p>
        </w:tc>
        <w:tc>
          <w:tcPr>
            <w:tcW w:w="7234" w:type="dxa"/>
            <w:gridSpan w:val="2"/>
            <w:tcBorders/>
            <w:vAlign w:val="center"/>
          </w:tcPr>
          <w:p>
            <w:pPr>
              <w:pStyle w:val="TableContents"/>
              <w:bidi w:val="0"/>
              <w:spacing w:before="0" w:after="283"/>
              <w:jc w:val="left"/>
              <w:rPr>
                <w:sz w:val="4"/>
                <w:szCs w:val="4"/>
              </w:rPr>
            </w:pPr>
            <w:r>
              <w:rPr>
                <w:sz w:val="4"/>
                <w:szCs w:val="4"/>
              </w:rPr>
            </w:r>
          </w:p>
        </w:tc>
      </w:tr>
      <w:tr>
        <w:trPr/>
        <w:tc>
          <w:tcPr>
            <w:tcW w:w="2971" w:type="dxa"/>
            <w:tcBorders/>
          </w:tcPr>
          <w:p>
            <w:pPr>
              <w:pStyle w:val="TableContents"/>
              <w:bidi w:val="0"/>
              <w:spacing w:before="0" w:after="283"/>
              <w:jc w:val="left"/>
              <w:rPr/>
            </w:pPr>
            <w:r>
              <w:rPr/>
              <w:t>“</w:t>
            </w:r>
            <w:r>
              <w:rPr>
                <w:b/>
              </w:rPr>
              <w:t>Subsidiary”</w:t>
            </w:r>
          </w:p>
        </w:tc>
        <w:tc>
          <w:tcPr>
            <w:tcW w:w="120" w:type="dxa"/>
            <w:tcBorders/>
            <w:vAlign w:val="bottom"/>
          </w:tcPr>
          <w:p>
            <w:pPr>
              <w:pStyle w:val="TableContents"/>
              <w:bidi w:val="0"/>
              <w:spacing w:before="0" w:after="283"/>
              <w:jc w:val="left"/>
              <w:rPr/>
            </w:pPr>
            <w:r>
              <w:rPr/>
              <w:t>  </w:t>
            </w:r>
          </w:p>
        </w:tc>
        <w:tc>
          <w:tcPr>
            <w:tcW w:w="7114" w:type="dxa"/>
            <w:tcBorders/>
          </w:tcPr>
          <w:p>
            <w:pPr>
              <w:pStyle w:val="TableContents"/>
              <w:bidi w:val="0"/>
              <w:spacing w:before="0" w:after="283"/>
              <w:jc w:val="left"/>
              <w:rPr/>
            </w:pPr>
            <w:r>
              <w:rPr/>
              <w:t>means a company which is for the time being and from time to time a subsidiary (within the meaning of the Companies Ordinance (Chapter 622 of the Laws of Hong Kong)) of the Company, whether incorporated in Hong Kong or elsewhere</w:t>
            </w:r>
          </w:p>
        </w:tc>
      </w:tr>
      <w:tr>
        <w:trPr>
          <w:trHeight w:val="120" w:hRule="atLeast"/>
        </w:trPr>
        <w:tc>
          <w:tcPr>
            <w:tcW w:w="2971" w:type="dxa"/>
            <w:tcBorders/>
            <w:vAlign w:val="center"/>
          </w:tcPr>
          <w:p>
            <w:pPr>
              <w:pStyle w:val="TableContents"/>
              <w:bidi w:val="0"/>
              <w:spacing w:before="0" w:after="283"/>
              <w:jc w:val="left"/>
              <w:rPr>
                <w:sz w:val="4"/>
                <w:szCs w:val="4"/>
              </w:rPr>
            </w:pPr>
            <w:r>
              <w:rPr>
                <w:sz w:val="4"/>
                <w:szCs w:val="4"/>
              </w:rPr>
            </w:r>
          </w:p>
        </w:tc>
        <w:tc>
          <w:tcPr>
            <w:tcW w:w="7234" w:type="dxa"/>
            <w:gridSpan w:val="2"/>
            <w:tcBorders/>
            <w:vAlign w:val="center"/>
          </w:tcPr>
          <w:p>
            <w:pPr>
              <w:pStyle w:val="TableContents"/>
              <w:bidi w:val="0"/>
              <w:spacing w:before="0" w:after="283"/>
              <w:jc w:val="left"/>
              <w:rPr>
                <w:sz w:val="4"/>
                <w:szCs w:val="4"/>
              </w:rPr>
            </w:pPr>
            <w:r>
              <w:rPr>
                <w:sz w:val="4"/>
                <w:szCs w:val="4"/>
              </w:rPr>
            </w:r>
          </w:p>
        </w:tc>
      </w:tr>
      <w:tr>
        <w:trPr/>
        <w:tc>
          <w:tcPr>
            <w:tcW w:w="2971" w:type="dxa"/>
            <w:tcBorders/>
          </w:tcPr>
          <w:p>
            <w:pPr>
              <w:pStyle w:val="TableContents"/>
              <w:bidi w:val="0"/>
              <w:spacing w:before="0" w:after="283"/>
              <w:jc w:val="left"/>
              <w:rPr/>
            </w:pPr>
            <w:r>
              <w:rPr/>
              <w:t>“</w:t>
            </w:r>
            <w:r>
              <w:rPr>
                <w:b/>
              </w:rPr>
              <w:t>US$”</w:t>
            </w:r>
          </w:p>
        </w:tc>
        <w:tc>
          <w:tcPr>
            <w:tcW w:w="120" w:type="dxa"/>
            <w:tcBorders/>
            <w:vAlign w:val="bottom"/>
          </w:tcPr>
          <w:p>
            <w:pPr>
              <w:pStyle w:val="TableContents"/>
              <w:bidi w:val="0"/>
              <w:spacing w:before="0" w:after="283"/>
              <w:jc w:val="left"/>
              <w:rPr/>
            </w:pPr>
            <w:r>
              <w:rPr/>
              <w:t>  </w:t>
            </w:r>
          </w:p>
        </w:tc>
        <w:tc>
          <w:tcPr>
            <w:tcW w:w="7114" w:type="dxa"/>
            <w:tcBorders/>
          </w:tcPr>
          <w:p>
            <w:pPr>
              <w:pStyle w:val="TableContents"/>
              <w:bidi w:val="0"/>
              <w:spacing w:before="0" w:after="283"/>
              <w:jc w:val="left"/>
              <w:rPr/>
            </w:pPr>
            <w:r>
              <w:rPr/>
              <w:t>U.S. dollars, the lawful currency of the United States of America</w:t>
            </w:r>
          </w:p>
        </w:tc>
      </w:tr>
      <w:tr>
        <w:trPr>
          <w:trHeight w:val="120" w:hRule="atLeast"/>
        </w:trPr>
        <w:tc>
          <w:tcPr>
            <w:tcW w:w="2971" w:type="dxa"/>
            <w:tcBorders/>
            <w:vAlign w:val="center"/>
          </w:tcPr>
          <w:p>
            <w:pPr>
              <w:pStyle w:val="TableContents"/>
              <w:bidi w:val="0"/>
              <w:spacing w:before="0" w:after="283"/>
              <w:jc w:val="left"/>
              <w:rPr>
                <w:sz w:val="4"/>
                <w:szCs w:val="4"/>
              </w:rPr>
            </w:pPr>
            <w:r>
              <w:rPr>
                <w:sz w:val="4"/>
                <w:szCs w:val="4"/>
              </w:rPr>
            </w:r>
          </w:p>
        </w:tc>
        <w:tc>
          <w:tcPr>
            <w:tcW w:w="7234" w:type="dxa"/>
            <w:gridSpan w:val="2"/>
            <w:tcBorders/>
            <w:vAlign w:val="center"/>
          </w:tcPr>
          <w:p>
            <w:pPr>
              <w:pStyle w:val="TableContents"/>
              <w:bidi w:val="0"/>
              <w:spacing w:before="0" w:after="283"/>
              <w:jc w:val="left"/>
              <w:rPr>
                <w:sz w:val="4"/>
                <w:szCs w:val="4"/>
              </w:rPr>
            </w:pPr>
            <w:r>
              <w:rPr>
                <w:sz w:val="4"/>
                <w:szCs w:val="4"/>
              </w:rPr>
            </w:r>
          </w:p>
        </w:tc>
      </w:tr>
      <w:tr>
        <w:trPr/>
        <w:tc>
          <w:tcPr>
            <w:tcW w:w="2971" w:type="dxa"/>
            <w:tcBorders/>
          </w:tcPr>
          <w:p>
            <w:pPr>
              <w:pStyle w:val="TableContents"/>
              <w:bidi w:val="0"/>
              <w:spacing w:before="0" w:after="283"/>
              <w:jc w:val="left"/>
              <w:rPr/>
            </w:pPr>
            <w:r>
              <w:rPr/>
              <w:t>“</w:t>
            </w:r>
            <w:r>
              <w:rPr>
                <w:b/>
              </w:rPr>
              <w:t>vest”</w:t>
            </w:r>
          </w:p>
        </w:tc>
        <w:tc>
          <w:tcPr>
            <w:tcW w:w="120" w:type="dxa"/>
            <w:tcBorders/>
            <w:vAlign w:val="bottom"/>
          </w:tcPr>
          <w:p>
            <w:pPr>
              <w:pStyle w:val="TableContents"/>
              <w:bidi w:val="0"/>
              <w:spacing w:before="0" w:after="283"/>
              <w:jc w:val="left"/>
              <w:rPr/>
            </w:pPr>
            <w:r>
              <w:rPr/>
              <w:t>  </w:t>
            </w:r>
          </w:p>
        </w:tc>
        <w:tc>
          <w:tcPr>
            <w:tcW w:w="7114" w:type="dxa"/>
            <w:tcBorders/>
          </w:tcPr>
          <w:p>
            <w:pPr>
              <w:pStyle w:val="TableContents"/>
              <w:bidi w:val="0"/>
              <w:spacing w:before="0" w:after="283"/>
              <w:jc w:val="left"/>
              <w:rPr/>
            </w:pPr>
            <w:r>
              <w:rPr/>
              <w:t>(a) in respect of Class A ordinary shares underlying an Option, the Grantee becoming entitled to exercise the Option to subscribe for or acquire such Class A ordinary shares (including in the form of ADSs), and (b) in respect of Class A ordinary shares underlying an RSU, the Grantee becoming entitled to receive such Class A ordinary shares (including in the form of ADSs) or an equivalent value in cash pursuant to the 2025 Share Incentive Scheme</w:t>
            </w:r>
          </w:p>
        </w:tc>
      </w:tr>
      <w:tr>
        <w:trPr>
          <w:trHeight w:val="120" w:hRule="atLeast"/>
        </w:trPr>
        <w:tc>
          <w:tcPr>
            <w:tcW w:w="2971" w:type="dxa"/>
            <w:tcBorders/>
            <w:vAlign w:val="center"/>
          </w:tcPr>
          <w:p>
            <w:pPr>
              <w:pStyle w:val="TableContents"/>
              <w:bidi w:val="0"/>
              <w:spacing w:before="0" w:after="283"/>
              <w:jc w:val="left"/>
              <w:rPr>
                <w:sz w:val="4"/>
                <w:szCs w:val="4"/>
              </w:rPr>
            </w:pPr>
            <w:r>
              <w:rPr>
                <w:sz w:val="4"/>
                <w:szCs w:val="4"/>
              </w:rPr>
            </w:r>
          </w:p>
        </w:tc>
        <w:tc>
          <w:tcPr>
            <w:tcW w:w="7234" w:type="dxa"/>
            <w:gridSpan w:val="2"/>
            <w:tcBorders/>
            <w:vAlign w:val="center"/>
          </w:tcPr>
          <w:p>
            <w:pPr>
              <w:pStyle w:val="TableContents"/>
              <w:bidi w:val="0"/>
              <w:spacing w:before="0" w:after="283"/>
              <w:jc w:val="left"/>
              <w:rPr>
                <w:sz w:val="4"/>
                <w:szCs w:val="4"/>
              </w:rPr>
            </w:pPr>
            <w:r>
              <w:rPr>
                <w:sz w:val="4"/>
                <w:szCs w:val="4"/>
              </w:rPr>
            </w:r>
          </w:p>
        </w:tc>
      </w:tr>
      <w:tr>
        <w:trPr/>
        <w:tc>
          <w:tcPr>
            <w:tcW w:w="2971" w:type="dxa"/>
            <w:tcBorders/>
          </w:tcPr>
          <w:p>
            <w:pPr>
              <w:pStyle w:val="TableContents"/>
              <w:bidi w:val="0"/>
              <w:spacing w:before="0" w:after="283"/>
              <w:jc w:val="left"/>
              <w:rPr/>
            </w:pPr>
            <w:r>
              <w:rPr/>
              <w:t>“</w:t>
            </w:r>
            <w:r>
              <w:rPr>
                <w:b/>
              </w:rPr>
              <w:t>%”</w:t>
            </w:r>
          </w:p>
        </w:tc>
        <w:tc>
          <w:tcPr>
            <w:tcW w:w="120" w:type="dxa"/>
            <w:tcBorders/>
            <w:vAlign w:val="bottom"/>
          </w:tcPr>
          <w:p>
            <w:pPr>
              <w:pStyle w:val="TableContents"/>
              <w:bidi w:val="0"/>
              <w:spacing w:before="0" w:after="283"/>
              <w:jc w:val="left"/>
              <w:rPr/>
            </w:pPr>
            <w:r>
              <w:rPr/>
              <w:t>  </w:t>
            </w:r>
          </w:p>
        </w:tc>
        <w:tc>
          <w:tcPr>
            <w:tcW w:w="7114" w:type="dxa"/>
            <w:tcBorders/>
          </w:tcPr>
          <w:p>
            <w:pPr>
              <w:pStyle w:val="TableContents"/>
              <w:bidi w:val="0"/>
              <w:spacing w:before="0" w:after="283"/>
              <w:jc w:val="left"/>
              <w:rPr/>
            </w:pPr>
            <w:r>
              <w:rPr/>
              <w:t>per cent</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0"/>
              <w:jc w:val="center"/>
              <w:rPr>
                <w:rFonts w:ascii="Times New Roman" w:hAnsi="Times New Roman"/>
                <w:sz w:val="20"/>
              </w:rPr>
            </w:pPr>
            <w:r>
              <w:rPr>
                <w:rFonts w:ascii="Times New Roman" w:hAnsi="Times New Roman"/>
                <w:sz w:val="20"/>
              </w:rPr>
              <w:t>By order of the Board</w:t>
            </w:r>
          </w:p>
          <w:p>
            <w:pPr>
              <w:pStyle w:val="TableContents"/>
              <w:bidi w:val="0"/>
              <w:spacing w:before="0" w:after="0"/>
              <w:jc w:val="center"/>
              <w:rPr>
                <w:rFonts w:ascii="Times New Roman" w:hAnsi="Times New Roman"/>
                <w:b/>
                <w:sz w:val="20"/>
              </w:rPr>
            </w:pPr>
            <w:r>
              <w:rPr>
                <w:rFonts w:ascii="Times New Roman" w:hAnsi="Times New Roman"/>
                <w:b/>
                <w:sz w:val="20"/>
              </w:rPr>
              <w:t>XPeng Inc.</w:t>
            </w:r>
          </w:p>
          <w:p>
            <w:pPr>
              <w:pStyle w:val="TableContents"/>
              <w:bidi w:val="0"/>
              <w:spacing w:before="0" w:after="0"/>
              <w:jc w:val="center"/>
              <w:rPr>
                <w:rFonts w:ascii="Times New Roman" w:hAnsi="Times New Roman"/>
                <w:b/>
                <w:sz w:val="20"/>
              </w:rPr>
            </w:pPr>
            <w:r>
              <w:rPr>
                <w:rFonts w:ascii="Times New Roman" w:hAnsi="Times New Roman"/>
                <w:b/>
                <w:sz w:val="20"/>
              </w:rPr>
              <w:t>Xiaopeng He</w:t>
            </w:r>
          </w:p>
          <w:p>
            <w:pPr>
              <w:pStyle w:val="TableContents"/>
              <w:bidi w:val="0"/>
              <w:spacing w:before="0" w:after="20"/>
              <w:jc w:val="center"/>
              <w:rPr>
                <w:rFonts w:ascii="Times New Roman" w:hAnsi="Times New Roman"/>
                <w:i/>
                <w:sz w:val="20"/>
              </w:rPr>
            </w:pPr>
            <w:r>
              <w:rPr>
                <w:rFonts w:ascii="Times New Roman" w:hAnsi="Times New Roman"/>
                <w:i/>
                <w:sz w:val="20"/>
              </w:rPr>
              <w:t>Chairman</w:t>
            </w:r>
          </w:p>
        </w:tc>
      </w:tr>
    </w:tbl>
    <w:p>
      <w:pPr>
        <w:pStyle w:val="TextBody"/>
        <w:bidi w:val="0"/>
        <w:spacing w:before="360" w:after="0"/>
        <w:jc w:val="left"/>
        <w:rPr>
          <w:rFonts w:ascii="Times New Roman" w:hAnsi="Times New Roman"/>
          <w:sz w:val="20"/>
        </w:rPr>
      </w:pPr>
      <w:r>
        <w:rPr>
          <w:rFonts w:ascii="Times New Roman" w:hAnsi="Times New Roman"/>
          <w:sz w:val="20"/>
        </w:rPr>
        <w:t xml:space="preserve">Hong Kong, Friday, October 16, 2026 </w:t>
      </w:r>
    </w:p>
    <w:p>
      <w:pPr>
        <w:pStyle w:val="TextBody"/>
        <w:bidi w:val="0"/>
        <w:spacing w:before="120" w:after="0"/>
        <w:jc w:val="left"/>
        <w:rPr>
          <w:rFonts w:ascii="Times New Roman" w:hAnsi="Times New Roman"/>
          <w:i/>
          <w:sz w:val="20"/>
        </w:rPr>
      </w:pPr>
      <w:r>
        <w:rPr>
          <w:rFonts w:ascii="Times New Roman" w:hAnsi="Times New Roman"/>
          <w:i/>
          <w:sz w:val="20"/>
        </w:rPr>
        <w:t xml:space="preserve">As at the date of this announcement, the board of directors of the Company comprises Mr. Xiaopeng He as an executive Director, Mr. Ji-Xun Foo as a non-executive Director, and Mr. Donghao Yang, Ms. Fang Qu, Mr. HongJiang Zhang and Mr. Yudong Chen as independent non-executive Directors.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identification purpose only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2757</Words>
  <Characters>14060</Characters>
  <CharactersWithSpaces>16839</CharactersWithSpaces>
  <Paragraphs>234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