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3346ds8.htm"/>
      <w:bookmarkStart w:id="1" w:name="ksd143346ds8"/>
      <w:bookmarkEnd w:id="0"/>
      <w:bookmarkEnd w:id="1"/>
      <w:r>
        <w:rPr>
          <w:rFonts w:ascii="Times New Roman" w:hAnsi="Times New Roman"/>
          <w:b/>
          <w:sz w:val="20"/>
        </w:rPr>
        <w:t xml:space="preserve">As Filed with the Securities and Exchange Commission on September 15, 2026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Cayman Islands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+86-020-6680-6680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XPeng Inc. Second Amended and Restated 2019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Cogency Global Inc. </w:t>
      </w:r>
    </w:p>
    <w:p>
      <w:pPr>
        <w:pStyle w:val="TextBody"/>
        <w:bidi w:val="0"/>
        <w:spacing w:before="0" w:after="0"/>
        <w:jc w:val="center"/>
        <w:rPr>
          <w:rFonts w:ascii="Times New Roman" w:hAnsi="Times New Roman"/>
          <w:b/>
          <w:sz w:val="20"/>
        </w:rPr>
      </w:pPr>
      <w:r>
        <w:rPr>
          <w:rFonts w:ascii="Times New Roman" w:hAnsi="Times New Roman"/>
          <w:b/>
          <w:sz w:val="20"/>
        </w:rPr>
        <w:t xml:space="preserve">122 East 42nd Street, 18th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10168 </w:t>
      </w:r>
    </w:p>
    <w:p>
      <w:pPr>
        <w:pStyle w:val="TextBody"/>
        <w:bidi w:val="0"/>
        <w:spacing w:before="0" w:after="0"/>
        <w:jc w:val="center"/>
        <w:rPr>
          <w:rFonts w:ascii="Times New Roman" w:hAnsi="Times New Roman"/>
          <w:b/>
          <w:sz w:val="20"/>
        </w:rPr>
      </w:pPr>
      <w:r>
        <w:rPr>
          <w:rFonts w:ascii="Times New Roman" w:hAnsi="Times New Roman"/>
          <w:b/>
          <w:sz w:val="20"/>
        </w:rPr>
        <w:t xml:space="preserve">+1 (800) 221-0102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Yeqing Zheng</w:t>
              <w:br/>
              <w:t>Vice President and General Counsel</w:t>
              <w:br/>
              <w:t>No.10, Cencun Fengzhuang Avenue</w:t>
            </w:r>
          </w:p>
          <w:p>
            <w:pPr>
              <w:pStyle w:val="TableContents"/>
              <w:bidi w:val="0"/>
              <w:spacing w:before="0" w:after="0"/>
              <w:jc w:val="center"/>
              <w:rPr>
                <w:rFonts w:ascii="Times New Roman" w:hAnsi="Times New Roman"/>
                <w:b/>
                <w:sz w:val="20"/>
              </w:rPr>
            </w:pPr>
            <w:r>
              <w:rPr>
                <w:rFonts w:ascii="Times New Roman" w:hAnsi="Times New Roman"/>
                <w:b/>
                <w:sz w:val="20"/>
              </w:rPr>
              <w:t>Tianhe District, Guangzhou</w:t>
            </w:r>
          </w:p>
          <w:p>
            <w:pPr>
              <w:pStyle w:val="TableContents"/>
              <w:bidi w:val="0"/>
              <w:spacing w:before="0" w:after="0"/>
              <w:jc w:val="center"/>
              <w:rPr>
                <w:rFonts w:ascii="Times New Roman" w:hAnsi="Times New Roman"/>
                <w:b/>
                <w:sz w:val="20"/>
              </w:rPr>
            </w:pPr>
            <w:r>
              <w:rPr>
                <w:rFonts w:ascii="Times New Roman" w:hAnsi="Times New Roman"/>
                <w:b/>
                <w:sz w:val="20"/>
              </w:rPr>
              <w:t>Guangdong 510640</w:t>
            </w:r>
          </w:p>
          <w:p>
            <w:pPr>
              <w:pStyle w:val="TableContents"/>
              <w:bidi w:val="0"/>
              <w:spacing w:before="0" w:after="0"/>
              <w:jc w:val="center"/>
              <w:rPr>
                <w:rFonts w:ascii="Times New Roman" w:hAnsi="Times New Roman"/>
                <w:b/>
                <w:sz w:val="20"/>
              </w:rPr>
            </w:pPr>
            <w:r>
              <w:rPr>
                <w:rFonts w:ascii="Times New Roman" w:hAnsi="Times New Roman"/>
                <w:b/>
                <w:sz w:val="20"/>
              </w:rPr>
              <w:t>People’s Republic of China</w:t>
            </w:r>
          </w:p>
          <w:p>
            <w:pPr>
              <w:pStyle w:val="TableContents"/>
              <w:bidi w:val="0"/>
              <w:spacing w:before="0" w:after="20"/>
              <w:jc w:val="center"/>
              <w:rPr>
                <w:rFonts w:ascii="Times New Roman" w:hAnsi="Times New Roman"/>
                <w:b/>
                <w:sz w:val="20"/>
              </w:rPr>
            </w:pPr>
            <w:r>
              <w:rPr>
                <w:rFonts w:ascii="Times New Roman" w:hAnsi="Times New Roman"/>
                <w:b/>
                <w:sz w:val="20"/>
              </w:rPr>
              <w:t>+86-020-6680-6680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Ching-Yang Lin, Esq.</w:t>
            </w:r>
          </w:p>
          <w:p>
            <w:pPr>
              <w:pStyle w:val="TableContents"/>
              <w:bidi w:val="0"/>
              <w:spacing w:before="0" w:after="0"/>
              <w:jc w:val="center"/>
              <w:rPr>
                <w:rFonts w:ascii="Times New Roman" w:hAnsi="Times New Roman"/>
                <w:b/>
                <w:sz w:val="20"/>
              </w:rPr>
            </w:pPr>
            <w:r>
              <w:rPr>
                <w:rFonts w:ascii="Times New Roman" w:hAnsi="Times New Roman"/>
                <w:b/>
                <w:sz w:val="20"/>
              </w:rPr>
              <w:t>Sullivan &amp; Cromwell (Hong Kong) LLP</w:t>
            </w:r>
          </w:p>
          <w:p>
            <w:pPr>
              <w:pStyle w:val="TableContents"/>
              <w:bidi w:val="0"/>
              <w:spacing w:before="0" w:after="0"/>
              <w:jc w:val="center"/>
              <w:rPr>
                <w:rFonts w:ascii="Times New Roman" w:hAnsi="Times New Roman"/>
                <w:b/>
                <w:sz w:val="20"/>
              </w:rPr>
            </w:pPr>
            <w:r>
              <w:rPr>
                <w:rFonts w:ascii="Times New Roman" w:hAnsi="Times New Roman"/>
                <w:b/>
                <w:sz w:val="20"/>
              </w:rPr>
              <w:t>20/F, Alexandra House</w:t>
            </w:r>
          </w:p>
          <w:p>
            <w:pPr>
              <w:pStyle w:val="TableContents"/>
              <w:bidi w:val="0"/>
              <w:spacing w:before="0" w:after="0"/>
              <w:jc w:val="center"/>
              <w:rPr>
                <w:rFonts w:ascii="Times New Roman" w:hAnsi="Times New Roman"/>
                <w:b/>
                <w:sz w:val="20"/>
              </w:rPr>
            </w:pPr>
            <w:r>
              <w:rPr>
                <w:rFonts w:ascii="Times New Roman" w:hAnsi="Times New Roman"/>
                <w:b/>
                <w:sz w:val="20"/>
              </w:rPr>
              <w:t>18 Chater Road, Central</w:t>
            </w:r>
          </w:p>
          <w:p>
            <w:pPr>
              <w:pStyle w:val="TableContents"/>
              <w:bidi w:val="0"/>
              <w:spacing w:before="0" w:after="0"/>
              <w:jc w:val="center"/>
              <w:rPr>
                <w:rFonts w:ascii="Times New Roman" w:hAnsi="Times New Roman"/>
                <w:b/>
                <w:sz w:val="20"/>
              </w:rPr>
            </w:pPr>
            <w:r>
              <w:rPr>
                <w:rFonts w:ascii="Times New Roman" w:hAnsi="Times New Roman"/>
                <w:b/>
                <w:sz w:val="20"/>
              </w:rPr>
              <w:t>Hong Kong</w:t>
            </w:r>
          </w:p>
          <w:p>
            <w:pPr>
              <w:pStyle w:val="TableContents"/>
              <w:bidi w:val="0"/>
              <w:spacing w:before="0" w:after="20"/>
              <w:jc w:val="center"/>
              <w:rPr>
                <w:rFonts w:ascii="Times New Roman" w:hAnsi="Times New Roman"/>
                <w:b/>
                <w:sz w:val="20"/>
              </w:rPr>
            </w:pPr>
            <w:r>
              <w:rPr>
                <w:rFonts w:ascii="Times New Roman" w:hAnsi="Times New Roman"/>
                <w:b/>
                <w:sz w:val="20"/>
              </w:rPr>
              <w:t>+852-2826-8688</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(“Registration Statement”) is being filed pursuant to the General Instruction E to Form S-8 for the purpose of registering an aggregate of 14,000,000 additional class A ordinary shares of a par value of US$0.00001 each (the “Class A Ordinary Shares”) of XPeng Inc. (the “Registrant”), which are reserved for issuance under the Registrant’s Second Amended and Restated 2019 Equity Incentive Plan (the “2019 Plan”). These 14,000,000 additional Class A Ordinary Shares are of the same class as other securities for which registration statements on Form S-8 were filed on December 29, 2020 (File No. 333-251792, the “2020 S-8 Registration Statement”), on June 21, 2022 (File No. 333-265733, the “2022 S-8 Registration Statement”) and on September 13, 2024 (File No. 333-282085, the “2024 S-8 Registration Statement”, jointly with the 2020 S-8 Registration Statement and the 2022 S-8 Registration Statement, the “Existing S-8 Registration Statements”), respectively, with the Securities and Exchange Commission (the “Commission”), but were not registered under the Existing S-8 Registration Statements. An aggregate of 43,000,000 Class A Ordinary Shares in the capital of the Registrant was previously registered for the issuance under the 2019 Plan pursuant to the Existing S-8 Registration Statements. Pursuant to the General Instruction E to Form S-8, the contents of the Existing S-8 Registration Statements are incorporated by reference into this Registration Statement, except as otherwise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Registrant with the Commission are incorporated by reference herein and deemed to be a part hereof: </w:t>
      </w:r>
    </w:p>
    <w:p>
      <w:pPr>
        <w:pStyle w:val="TextBody"/>
        <w:bidi w:val="0"/>
        <w:spacing w:before="120" w:after="0"/>
        <w:jc w:val="left"/>
        <w:rPr/>
      </w:pPr>
      <w:r>
        <w:rPr>
          <w:rFonts w:ascii="Times New Roman" w:hAnsi="Times New Roman"/>
          <w:sz w:val="20"/>
        </w:rPr>
        <w:t xml:space="preserve">a. The Registrant’s </w:t>
      </w:r>
      <w:hyperlink r:id="rId2">
        <w:r>
          <w:rPr>
            <w:rStyle w:val="InternetLink"/>
            <w:rFonts w:ascii="Times New Roman" w:hAnsi="Times New Roman"/>
            <w:sz w:val="20"/>
          </w:rPr>
          <w:t>annual report on Form 20-F for the fiscal year ended December 31, 2025, filed with the Commission on April 16, 2026 (File No. 001-39466)</w:t>
        </w:r>
      </w:hyperlink>
      <w:r>
        <w:rPr>
          <w:rFonts w:ascii="Times New Roman" w:hAnsi="Times New Roman"/>
          <w:sz w:val="20"/>
        </w:rPr>
        <w:t xml:space="preserve">; and </w:t>
      </w:r>
    </w:p>
    <w:p>
      <w:pPr>
        <w:pStyle w:val="TextBody"/>
        <w:bidi w:val="0"/>
        <w:spacing w:before="240" w:after="0"/>
        <w:jc w:val="left"/>
        <w:rPr/>
      </w:pPr>
      <w:r>
        <w:rPr>
          <w:rFonts w:ascii="Times New Roman" w:hAnsi="Times New Roman"/>
          <w:sz w:val="20"/>
        </w:rPr>
        <w:t xml:space="preserve">b. The description of the Registrant’s Class  A Ordinary Shares contained in its </w:t>
      </w:r>
      <w:hyperlink r:id="rId3">
        <w:r>
          <w:rPr>
            <w:rStyle w:val="InternetLink"/>
            <w:rFonts w:ascii="Times New Roman" w:hAnsi="Times New Roman"/>
            <w:sz w:val="20"/>
          </w:rPr>
          <w:t>Registration Statement on Form  8-A (Registration No. 001-39466) filed with the Commission on August 21, 2020</w:t>
        </w:r>
      </w:hyperlink>
      <w:r>
        <w:rPr>
          <w:rFonts w:ascii="Times New Roman" w:hAnsi="Times New Roman"/>
          <w:sz w:val="20"/>
        </w:rPr>
        <w:t xml:space="preserve"> pursuant to Section 12 of the Securities Exchange Act of 1934, as amended (the “Exchange Act”), which incorporates by reference the description of the Registrant’s Class  A Ordinary Shares set forth in the Registrant’s </w:t>
      </w:r>
      <w:hyperlink r:id="rId4">
        <w:r>
          <w:rPr>
            <w:rStyle w:val="InternetLink"/>
            <w:rFonts w:ascii="Times New Roman" w:hAnsi="Times New Roman"/>
            <w:sz w:val="20"/>
          </w:rPr>
          <w:t>Registration Statement on Form  F-1 (Registration No. 333-242283), as amended, initially filed with the Commission on August 7, 2020</w:t>
        </w:r>
      </w:hyperlink>
      <w:r>
        <w:rPr>
          <w:rFonts w:ascii="Times New Roman" w:hAnsi="Times New Roman"/>
          <w:sz w:val="20"/>
        </w:rPr>
        <w:t xml:space="preserve">, including any amendments or reports filed for the purpose of updating such description. </w:t>
      </w:r>
    </w:p>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with the Commission.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prior statement. Any statement contained in this Registration Statement shall be deemed to be modified or superseded to the extent that a statement contained in a subsequently filed document that is or is deemed to be incorporated by reference in this Registration Statement modifies or supersedes such prior statement. Any statement so modified or superseded shall not be deemed, except as so modified or superseded, to constitute a part of this Registration Statement. No document or information deemed to be furnished and not filed in accordance with rules of the Commission shall be deemed to be incorporated herein by reference unless such document or information expressly provides to the contrary.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tenth amended and restated memorandum and articles of association, adopted by a special resolution of its shareholders on June 26, 2026, provides that every director and officer for the time being of the Registrant or any trustee for the time being acting in relation to the affairs of the Registrant and their respective heirs, executors, administrators, personal representatives or successors or assigns shall, in the absence of dishonesty or fraud, be indemnified by the Registrant against, and it shall be the duty of the directors out of the funds and other assets of the Registrant to pay, all costs, losses, damages and expenses, including travelling expenses, which any such director, officer or trustee may incur or become liable in respect of by reason of any contract entered into, or act or thing done by him as such director, officer or trustee or in any way in or about the execution of his duties and the amount for which such indemnity is provided shall immediately attach as a lien on the property of the Registrant and have priority as between the members over all other claims. No such director, officer or trustee shall be liable or answerable for the acts, receipts, neglects or defaults of any other director, officer or trustee or for joining in any receipt or other act for conformity or for any loss or expense happening to the Registrant through the insufficiency or deficiency of any security in or upon which any of the monies of the Registrant shall be invested or for any loss of the monies of the Registrant which shall be invested or for any loss or damage arising from the bankruptcy, insolvency or tortious act of any person with whom any monies, securities or effects shall be deposited, or for any other loss, damage or misfortune whatsoever which shall happen in or about the execution of the duties of his respective office or trust or in relation thereto unless the same happens through his own dishonesty or fraud.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indemnification agreement, the form of which was filed as Exhibit 10.1 to the Registrant’s Registration Statement on Form F-1 (Registration No. 333-242283), as amended, initially filed with the Commission on August 7, 2020, the Registrant has agreed to indemnify certain of its directors and officers against certain liabilities and expenses incurred by such persons in connection with claims made by reason of their being such directors or officers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2019 Plan, incorporated by reference as Exhibit 4.17 to the Registrant’s annual report on Form 20-F for the fiscal year ended December 31, 2025, filed with the Commission on April 16, 2026 (File No. 001-39466), the Registrant has agreed to indemnify the administrator of the 2019 Plan (the “Administrator”), or any individual member of the compensation committee of the board of directors of the Registrant (the “Board”) or the Board acting as the Administrator against certain liabilities and expenses incurred by such persons in connection with claims made by reason of any action or failure to act pursuant to the 2019 Plan.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listed on the accompanying Exhibit Index are filed as a part of, or incorporated by reference into, this Registration Statement (See Exhibit Index below).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35"/>
        <w:gridCol w:w="464"/>
        <w:gridCol w:w="8606"/>
      </w:tblGrid>
      <w:tr>
        <w:trPr/>
        <w:tc>
          <w:tcPr>
            <w:tcW w:w="113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8606" w:type="dxa"/>
            <w:tcBorders/>
            <w:vAlign w:val="center"/>
          </w:tcPr>
          <w:p>
            <w:pPr>
              <w:pStyle w:val="TableContents"/>
              <w:bidi w:val="0"/>
              <w:spacing w:before="0" w:after="283"/>
              <w:jc w:val="left"/>
              <w:rPr>
                <w:sz w:val="4"/>
                <w:szCs w:val="4"/>
              </w:rPr>
            </w:pPr>
            <w:r>
              <w:rPr>
                <w:sz w:val="4"/>
                <w:szCs w:val="4"/>
              </w:rPr>
            </w:r>
          </w:p>
        </w:tc>
      </w:tr>
      <w:tr>
        <w:trPr/>
        <w:tc>
          <w:tcPr>
            <w:tcW w:w="113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64" w:type="dxa"/>
            <w:tcBorders/>
            <w:vAlign w:val="bottom"/>
          </w:tcPr>
          <w:p>
            <w:pPr>
              <w:pStyle w:val="TableContents"/>
              <w:bidi w:val="0"/>
              <w:spacing w:before="0" w:after="283"/>
              <w:jc w:val="left"/>
              <w:rPr/>
            </w:pPr>
            <w:r>
              <w:rPr/>
              <w:t>  </w:t>
            </w:r>
          </w:p>
        </w:tc>
        <w:tc>
          <w:tcPr>
            <w:tcW w:w="86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4.1</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5">
              <w:r>
                <w:rPr>
                  <w:rStyle w:val="InternetLink"/>
                </w:rPr>
                <w:t>Tenth Amended and Restated Memorandum and Articles of Association of the Registrant (incorporated herein by reference to Exhibit 3.1 to the current report on Form 6-K (File No. 001-39466), previously furnished to the Securities and Exchange Commission on June 26, 2026)</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4.2</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6">
              <w:r>
                <w:rPr>
                  <w:rStyle w:val="InternetLink"/>
                </w:rPr>
                <w:t>Form of Class  A Ordinary Share Certificate (incorporated herein by reference to Exhibit 4.1 to the registration statement on Form F-1 (File No.  333-257308), as amended, initially filed with the Securities and Exchange Commission on June 23, 2021)</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4.3</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7">
              <w:r>
                <w:rPr>
                  <w:rStyle w:val="InternetLink"/>
                </w:rPr>
                <w:t>Form of Deposit Agreement among the Registrant, Citibank, N.A., as depositary, and the holders and beneficial owners of American Depositary Shares issued thereunder (incorporated herein by reference to Exhibit (a) to the Registration Statement on Form F-6 (Registration No. 333-248098), initially filed with the Securities and Exchange Commission on August 21, 2020)</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4.4</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8">
              <w:r>
                <w:rPr>
                  <w:rStyle w:val="InternetLink"/>
                </w:rPr>
                <w:t>Form of American Depositary Receipt evidencing American Depositary Shares (included in Exhibit 4.3)</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4.5</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9">
              <w:r>
                <w:rPr>
                  <w:rStyle w:val="InternetLink"/>
                </w:rPr>
                <w:t>Dual Listing Letter Agreement (incorporated herein by reference to Exhibit (c)(i) to the registration statement on Form F-6 (File No. 333-272112), initially filed with the Securities and Exchange Commission on May 22, 2023)</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4.6</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10">
              <w:r>
                <w:rPr>
                  <w:rStyle w:val="InternetLink"/>
                </w:rPr>
                <w:t>Letter Agreement (Bulk Issuance) (incorporated herein by reference to Exhibit (c) to the registration statement on Form F-6 (File No. 333-256151), initially filed with the Securities and Exchange Commission on May 14, 2021)</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5.1*</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w:anchor="d143346dex51.htm">
              <w:r>
                <w:rPr>
                  <w:rStyle w:val="InternetLink"/>
                </w:rPr>
                <w:t xml:space="preserve">Opinion of Harney Westwood &amp; Riegels </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10.1</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r:id="rId11">
              <w:r>
                <w:rPr>
                  <w:rStyle w:val="InternetLink"/>
                </w:rPr>
                <w:t>Second Amended and Restated 2019 Equity Incentive Plan (incorporated herein by reference to Exhibit 4.17 of the Registrant’s annual report on Form 20-F for the fiscal year ended December 31, 2025, filed with the Securities and Exchange Commission on April 16, 2026 (File No. 001-39466))</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23.1*</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w:anchor="d143346dex51.htm">
              <w:r>
                <w:rPr>
                  <w:rStyle w:val="InternetLink"/>
                </w:rPr>
                <w:t xml:space="preserve">Consent of Harney Westwood &amp; Riegels (included in Exhibit 5.1) </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23.2*</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w:anchor="d143346dex232.htm">
              <w:r>
                <w:rPr>
                  <w:rStyle w:val="InternetLink"/>
                </w:rPr>
                <w:t xml:space="preserve">Consent of PricewaterhouseCoopers Zhong Tian LLP </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 </w:t>
            </w:r>
            <w:r>
              <w:rPr/>
              <w:t>24.1*</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w:anchor="sig">
              <w:r>
                <w:rPr>
                  <w:rStyle w:val="InternetLink"/>
                </w:rPr>
                <w:t xml:space="preserve">Powers of Attorney (included on the signature page in Part II of this Registration Statement) </w:t>
              </w:r>
            </w:hyperlink>
          </w:p>
        </w:tc>
      </w:tr>
      <w:tr>
        <w:trPr>
          <w:trHeight w:val="120" w:hRule="atLeast"/>
        </w:trPr>
        <w:tc>
          <w:tcPr>
            <w:tcW w:w="1135"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107*</w:t>
            </w:r>
          </w:p>
        </w:tc>
        <w:tc>
          <w:tcPr>
            <w:tcW w:w="464" w:type="dxa"/>
            <w:tcBorders/>
            <w:vAlign w:val="bottom"/>
          </w:tcPr>
          <w:p>
            <w:pPr>
              <w:pStyle w:val="TableContents"/>
              <w:bidi w:val="0"/>
              <w:spacing w:before="0" w:after="283"/>
              <w:jc w:val="left"/>
              <w:rPr/>
            </w:pPr>
            <w:r>
              <w:rPr/>
              <w:t>  </w:t>
            </w:r>
          </w:p>
        </w:tc>
        <w:tc>
          <w:tcPr>
            <w:tcW w:w="8606" w:type="dxa"/>
            <w:tcBorders/>
          </w:tcPr>
          <w:p>
            <w:pPr>
              <w:pStyle w:val="TableContents"/>
              <w:bidi w:val="0"/>
              <w:spacing w:before="0" w:after="283"/>
              <w:jc w:val="left"/>
              <w:rPr/>
            </w:pPr>
            <w:hyperlink w:anchor="d143346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Guangzhou, China on September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XPeng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Xiaopeng He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Chairman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does hereby constitute and appoint Xiaopeng He, and each of them singly,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13"/>
        <w:gridCol w:w="120"/>
        <w:gridCol w:w="4321"/>
        <w:gridCol w:w="106"/>
        <w:gridCol w:w="1945"/>
      </w:tblGrid>
      <w:tr>
        <w:trPr/>
        <w:tc>
          <w:tcPr>
            <w:tcW w:w="37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371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2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Capacity</w:t>
            </w:r>
          </w:p>
        </w:tc>
        <w:tc>
          <w:tcPr>
            <w:tcW w:w="106" w:type="dxa"/>
            <w:tcBorders/>
            <w:vAlign w:val="bottom"/>
          </w:tcPr>
          <w:p>
            <w:pPr>
              <w:pStyle w:val="TableContents"/>
              <w:bidi w:val="0"/>
              <w:spacing w:before="0" w:after="283"/>
              <w:jc w:val="left"/>
              <w:rPr/>
            </w:pPr>
            <w:r>
              <w:rPr/>
              <w:t> </w:t>
            </w:r>
          </w:p>
        </w:tc>
        <w:tc>
          <w:tcPr>
            <w:tcW w:w="194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Xiaopeng He</w:t>
            </w:r>
          </w:p>
          <w:p>
            <w:pPr>
              <w:pStyle w:val="TableContents"/>
              <w:bidi w:val="0"/>
              <w:spacing w:before="0" w:after="20"/>
              <w:jc w:val="center"/>
              <w:rPr>
                <w:rFonts w:ascii="Times New Roman" w:hAnsi="Times New Roman"/>
                <w:sz w:val="20"/>
              </w:rPr>
            </w:pPr>
            <w:r>
              <w:rPr>
                <w:rFonts w:ascii="Times New Roman" w:hAnsi="Times New Roman"/>
                <w:sz w:val="20"/>
              </w:rPr>
              <w:t>Xiaopeng He</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Chairman and Chief Executive Officer</w:t>
              <w:br/>
              <w:t>(principal executive officer)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Ji-Xun Foo</w:t>
            </w:r>
          </w:p>
          <w:p>
            <w:pPr>
              <w:pStyle w:val="TableContents"/>
              <w:bidi w:val="0"/>
              <w:spacing w:before="0" w:after="20"/>
              <w:jc w:val="center"/>
              <w:rPr>
                <w:rFonts w:ascii="Times New Roman" w:hAnsi="Times New Roman"/>
                <w:sz w:val="20"/>
              </w:rPr>
            </w:pPr>
            <w:r>
              <w:rPr>
                <w:rFonts w:ascii="Times New Roman" w:hAnsi="Times New Roman"/>
                <w:sz w:val="20"/>
              </w:rPr>
              <w:t>Ji-Xun Foo</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Donghao Yang</w:t>
            </w:r>
          </w:p>
          <w:p>
            <w:pPr>
              <w:pStyle w:val="TableContents"/>
              <w:bidi w:val="0"/>
              <w:spacing w:before="0" w:after="20"/>
              <w:jc w:val="center"/>
              <w:rPr>
                <w:rFonts w:ascii="Times New Roman" w:hAnsi="Times New Roman"/>
                <w:sz w:val="20"/>
              </w:rPr>
            </w:pPr>
            <w:r>
              <w:rPr>
                <w:rFonts w:ascii="Times New Roman" w:hAnsi="Times New Roman"/>
                <w:sz w:val="20"/>
              </w:rPr>
              <w:t>Donghao Yang</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Fang Qu</w:t>
            </w:r>
          </w:p>
          <w:p>
            <w:pPr>
              <w:pStyle w:val="TableContents"/>
              <w:bidi w:val="0"/>
              <w:spacing w:before="0" w:after="20"/>
              <w:jc w:val="center"/>
              <w:rPr>
                <w:rFonts w:ascii="Times New Roman" w:hAnsi="Times New Roman"/>
                <w:sz w:val="20"/>
              </w:rPr>
            </w:pPr>
            <w:r>
              <w:rPr>
                <w:rFonts w:ascii="Times New Roman" w:hAnsi="Times New Roman"/>
                <w:sz w:val="20"/>
              </w:rPr>
              <w:t>Fang Qu</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HongJiang Zhang</w:t>
            </w:r>
          </w:p>
          <w:p>
            <w:pPr>
              <w:pStyle w:val="TableContents"/>
              <w:bidi w:val="0"/>
              <w:spacing w:before="0" w:after="20"/>
              <w:jc w:val="center"/>
              <w:rPr>
                <w:rFonts w:ascii="Times New Roman" w:hAnsi="Times New Roman"/>
                <w:sz w:val="20"/>
              </w:rPr>
            </w:pPr>
            <w:r>
              <w:rPr>
                <w:rFonts w:ascii="Times New Roman" w:hAnsi="Times New Roman"/>
                <w:sz w:val="20"/>
              </w:rPr>
              <w:t>HongJiang Zhang</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Yudong Chen</w:t>
            </w:r>
          </w:p>
          <w:p>
            <w:pPr>
              <w:pStyle w:val="TableContents"/>
              <w:bidi w:val="0"/>
              <w:spacing w:before="0" w:after="20"/>
              <w:jc w:val="center"/>
              <w:rPr>
                <w:rFonts w:ascii="Times New Roman" w:hAnsi="Times New Roman"/>
                <w:sz w:val="20"/>
              </w:rPr>
            </w:pPr>
            <w:r>
              <w:rPr>
                <w:rFonts w:ascii="Times New Roman" w:hAnsi="Times New Roman"/>
                <w:sz w:val="20"/>
              </w:rPr>
              <w:t>Yudong Chen</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r>
        <w:trPr>
          <w:trHeight w:val="240" w:hRule="atLeast"/>
        </w:trPr>
        <w:tc>
          <w:tcPr>
            <w:tcW w:w="3713" w:type="dxa"/>
            <w:tcBorders/>
            <w:vAlign w:val="center"/>
          </w:tcPr>
          <w:p>
            <w:pPr>
              <w:pStyle w:val="TableContents"/>
              <w:bidi w:val="0"/>
              <w:spacing w:before="0" w:after="283"/>
              <w:jc w:val="left"/>
              <w:rPr>
                <w:sz w:val="4"/>
                <w:szCs w:val="4"/>
              </w:rPr>
            </w:pPr>
            <w:r>
              <w:rPr>
                <w:sz w:val="4"/>
                <w:szCs w:val="4"/>
              </w:rPr>
            </w:r>
          </w:p>
        </w:tc>
        <w:tc>
          <w:tcPr>
            <w:tcW w:w="4441" w:type="dxa"/>
            <w:gridSpan w:val="2"/>
            <w:tcBorders/>
            <w:vAlign w:val="center"/>
          </w:tcPr>
          <w:p>
            <w:pPr>
              <w:pStyle w:val="TableContents"/>
              <w:bidi w:val="0"/>
              <w:spacing w:before="0" w:after="283"/>
              <w:jc w:val="left"/>
              <w:rPr>
                <w:sz w:val="4"/>
                <w:szCs w:val="4"/>
              </w:rPr>
            </w:pPr>
            <w:r>
              <w:rPr>
                <w:sz w:val="4"/>
                <w:szCs w:val="4"/>
              </w:rPr>
            </w:r>
          </w:p>
        </w:tc>
        <w:tc>
          <w:tcPr>
            <w:tcW w:w="2051" w:type="dxa"/>
            <w:gridSpan w:val="2"/>
            <w:tcBorders/>
            <w:vAlign w:val="center"/>
          </w:tcPr>
          <w:p>
            <w:pPr>
              <w:pStyle w:val="TableContents"/>
              <w:bidi w:val="0"/>
              <w:spacing w:before="0" w:after="283"/>
              <w:jc w:val="left"/>
              <w:rPr>
                <w:sz w:val="4"/>
                <w:szCs w:val="4"/>
              </w:rPr>
            </w:pPr>
            <w:r>
              <w:rPr>
                <w:sz w:val="4"/>
                <w:szCs w:val="4"/>
              </w:rPr>
            </w:r>
          </w:p>
        </w:tc>
      </w:tr>
      <w:tr>
        <w:trPr/>
        <w:tc>
          <w:tcPr>
            <w:tcW w:w="37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Jiaming (James) Wu</w:t>
            </w:r>
          </w:p>
          <w:p>
            <w:pPr>
              <w:pStyle w:val="TableContents"/>
              <w:bidi w:val="0"/>
              <w:spacing w:before="0" w:after="20"/>
              <w:jc w:val="center"/>
              <w:rPr>
                <w:rFonts w:ascii="Times New Roman" w:hAnsi="Times New Roman"/>
                <w:sz w:val="20"/>
              </w:rPr>
            </w:pPr>
            <w:r>
              <w:rPr>
                <w:rFonts w:ascii="Times New Roman" w:hAnsi="Times New Roman"/>
                <w:sz w:val="20"/>
              </w:rPr>
              <w:t>Jiaming (James) Wu</w:t>
            </w:r>
          </w:p>
        </w:tc>
        <w:tc>
          <w:tcPr>
            <w:tcW w:w="120"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center"/>
              <w:rPr/>
            </w:pPr>
            <w:r>
              <w:rPr/>
              <w:t>Vice President of Finance and Accounting</w:t>
              <w:br/>
              <w:t>(principal financial and accounting officer)</w:t>
            </w:r>
          </w:p>
        </w:tc>
        <w:tc>
          <w:tcPr>
            <w:tcW w:w="10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September 15,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REPRESENTATIVE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as amended, the undersigned, the duly authorized representative in the United States of XPeng Inc. has signed this Registration Statement or amendment thereto in New York, New York on September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Authorized Representative Cogency Global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Colleen A. De Vries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Colleen A. De Vries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Senior Vice President</w:t>
            </w:r>
          </w:p>
        </w:tc>
      </w:tr>
    </w:tbl>
    <w:p>
      <w:pPr>
        <w:pStyle w:val="TextBody"/>
        <w:bidi w:val="0"/>
        <w:spacing w:before="0" w:after="0"/>
        <w:jc w:val="right"/>
        <w:rPr>
          <w:rFonts w:ascii="Times New Roman" w:hAnsi="Times New Roman"/>
          <w:b/>
          <w:sz w:val="20"/>
        </w:rPr>
      </w:pPr>
      <w:bookmarkStart w:id="3" w:name="d143346dex51.htm"/>
      <w:bookmarkStart w:id="4" w:name="ksd143346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65"/>
        <w:gridCol w:w="120"/>
        <w:gridCol w:w="2874"/>
        <w:gridCol w:w="120"/>
        <w:gridCol w:w="3226"/>
      </w:tblGrid>
      <w:tr>
        <w:trPr/>
        <w:tc>
          <w:tcPr>
            <w:tcW w:w="38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865" w:type="dxa"/>
            <w:tcBorders/>
          </w:tcPr>
          <w:p>
            <w:pPr>
              <w:pStyle w:val="TableContents"/>
              <w:bidi w:val="0"/>
              <w:spacing w:before="0" w:after="283"/>
              <w:jc w:val="left"/>
              <w:rPr/>
            </w:pPr>
            <w:r>
              <w:rPr/>
              <w:drawing>
                <wp:inline distT="0" distB="0" distL="0" distR="0">
                  <wp:extent cx="18002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800225"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right"/>
              <w:rPr>
                <w:rFonts w:ascii="Times New Roman" w:hAnsi="Times New Roman"/>
                <w:sz w:val="20"/>
              </w:rPr>
            </w:pPr>
            <w:r>
              <w:rPr>
                <w:rFonts w:ascii="Times New Roman" w:hAnsi="Times New Roman"/>
                <w:sz w:val="20"/>
              </w:rPr>
              <w:t>Harney Westwood &amp; Riegels</w:t>
            </w:r>
          </w:p>
          <w:p>
            <w:pPr>
              <w:pStyle w:val="TableContents"/>
              <w:bidi w:val="0"/>
              <w:spacing w:before="0" w:after="0"/>
              <w:jc w:val="right"/>
              <w:rPr>
                <w:rFonts w:ascii="Times New Roman" w:hAnsi="Times New Roman"/>
                <w:sz w:val="20"/>
              </w:rPr>
            </w:pPr>
            <w:r>
              <w:rPr>
                <w:rFonts w:ascii="Times New Roman" w:hAnsi="Times New Roman"/>
                <w:sz w:val="20"/>
              </w:rPr>
              <w:t>14th Floor, Alexandra House</w:t>
            </w:r>
          </w:p>
          <w:p>
            <w:pPr>
              <w:pStyle w:val="TableContents"/>
              <w:bidi w:val="0"/>
              <w:spacing w:before="0" w:after="0"/>
              <w:jc w:val="right"/>
              <w:rPr>
                <w:rFonts w:ascii="Times New Roman" w:hAnsi="Times New Roman"/>
                <w:sz w:val="20"/>
              </w:rPr>
            </w:pPr>
            <w:r>
              <w:rPr>
                <w:rFonts w:ascii="Times New Roman" w:hAnsi="Times New Roman"/>
                <w:sz w:val="20"/>
              </w:rPr>
              <w:t>18 Chater Road</w:t>
            </w:r>
          </w:p>
          <w:p>
            <w:pPr>
              <w:pStyle w:val="TableContents"/>
              <w:bidi w:val="0"/>
              <w:spacing w:before="0" w:after="0"/>
              <w:jc w:val="right"/>
              <w:rPr>
                <w:rFonts w:ascii="Times New Roman" w:hAnsi="Times New Roman"/>
                <w:sz w:val="20"/>
              </w:rPr>
            </w:pPr>
            <w:r>
              <w:rPr>
                <w:rFonts w:ascii="Times New Roman" w:hAnsi="Times New Roman"/>
                <w:sz w:val="20"/>
              </w:rPr>
              <w:t>Central</w:t>
            </w:r>
          </w:p>
          <w:p>
            <w:pPr>
              <w:pStyle w:val="TableContents"/>
              <w:bidi w:val="0"/>
              <w:spacing w:before="0" w:after="20"/>
              <w:jc w:val="right"/>
              <w:rPr>
                <w:rFonts w:ascii="Times New Roman" w:hAnsi="Times New Roman"/>
                <w:sz w:val="20"/>
              </w:rPr>
            </w:pPr>
            <w:r>
              <w:rPr>
                <w:rFonts w:ascii="Times New Roman" w:hAnsi="Times New Roman"/>
                <w:sz w:val="20"/>
              </w:rPr>
              <w:t>Hong Kong</w:t>
            </w:r>
          </w:p>
        </w:tc>
      </w:tr>
      <w:tr>
        <w:trPr/>
        <w:tc>
          <w:tcPr>
            <w:tcW w:w="38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right"/>
              <w:rPr>
                <w:rFonts w:ascii="Times New Roman" w:hAnsi="Times New Roman"/>
                <w:sz w:val="20"/>
              </w:rPr>
            </w:pPr>
            <w:r>
              <w:rPr>
                <w:rFonts w:ascii="Times New Roman" w:hAnsi="Times New Roman"/>
                <w:sz w:val="20"/>
              </w:rPr>
              <w:t>Tel: +852 5806 7800</w:t>
            </w:r>
          </w:p>
          <w:p>
            <w:pPr>
              <w:pStyle w:val="TableContents"/>
              <w:bidi w:val="0"/>
              <w:spacing w:before="0" w:after="20"/>
              <w:jc w:val="right"/>
              <w:rPr>
                <w:rFonts w:ascii="Times New Roman" w:hAnsi="Times New Roman"/>
                <w:sz w:val="20"/>
              </w:rPr>
            </w:pPr>
            <w:r>
              <w:rPr>
                <w:rFonts w:ascii="Times New Roman" w:hAnsi="Times New Roman"/>
                <w:sz w:val="20"/>
              </w:rPr>
              <w:t>Fax: +852 5806 7810</w:t>
            </w:r>
          </w:p>
        </w:tc>
      </w:tr>
    </w:tbl>
    <w:p>
      <w:pPr>
        <w:pStyle w:val="TextBody"/>
        <w:bidi w:val="0"/>
        <w:spacing w:before="240" w:after="0"/>
        <w:jc w:val="left"/>
        <w:rPr>
          <w:rFonts w:ascii="Times New Roman" w:hAnsi="Times New Roman"/>
          <w:sz w:val="20"/>
        </w:rPr>
      </w:pPr>
      <w:r>
        <w:rPr>
          <w:rFonts w:ascii="Times New Roman" w:hAnsi="Times New Roman"/>
          <w:sz w:val="20"/>
        </w:rPr>
        <w:t xml:space="preserve">15 September 2026 </w:t>
      </w:r>
    </w:p>
    <w:p>
      <w:pPr>
        <w:pStyle w:val="TextBody"/>
        <w:bidi w:val="0"/>
        <w:spacing w:before="240" w:after="0"/>
        <w:jc w:val="right"/>
        <w:rPr>
          <w:rFonts w:ascii="Times New Roman" w:hAnsi="Times New Roman"/>
          <w:sz w:val="20"/>
        </w:rPr>
      </w:pPr>
      <w:r>
        <w:rPr>
          <w:rFonts w:ascii="Times New Roman" w:hAnsi="Times New Roman"/>
          <w:sz w:val="20"/>
        </w:rPr>
        <w:t xml:space="preserve">068890.0005 </w:t>
      </w:r>
    </w:p>
    <w:p>
      <w:pPr>
        <w:pStyle w:val="TextBody"/>
        <w:bidi w:val="0"/>
        <w:spacing w:before="24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 xml:space="preserve">4th Floor, Harbour Place, 103 South Church Street </w:t>
      </w:r>
    </w:p>
    <w:p>
      <w:pPr>
        <w:pStyle w:val="TextBody"/>
        <w:bidi w:val="0"/>
        <w:spacing w:before="0" w:after="0"/>
        <w:jc w:val="left"/>
        <w:rPr>
          <w:rFonts w:ascii="Times New Roman" w:hAnsi="Times New Roman"/>
          <w:sz w:val="20"/>
        </w:rPr>
      </w:pPr>
      <w:r>
        <w:rPr>
          <w:rFonts w:ascii="Times New Roman" w:hAnsi="Times New Roman"/>
          <w:sz w:val="20"/>
        </w:rPr>
        <w:t xml:space="preserve">P.O. Box 10240, Grand Cayman KY1-1002 </w:t>
      </w:r>
    </w:p>
    <w:p>
      <w:pPr>
        <w:pStyle w:val="TextBody"/>
        <w:bidi w:val="0"/>
        <w:spacing w:before="0" w:after="0"/>
        <w:jc w:val="left"/>
        <w:rPr>
          <w:rFonts w:ascii="Times New Roman" w:hAnsi="Times New Roman"/>
          <w:sz w:val="20"/>
        </w:rPr>
      </w:pPr>
      <w:r>
        <w:rPr>
          <w:rFonts w:ascii="Times New Roman" w:hAnsi="Times New Roman"/>
          <w:sz w:val="20"/>
        </w:rPr>
        <w:t xml:space="preserve">Cayman Islands </w:t>
      </w:r>
    </w:p>
    <w:p>
      <w:pPr>
        <w:pStyle w:val="TextBody"/>
        <w:bidi w:val="0"/>
        <w:spacing w:before="240" w:after="0"/>
        <w:jc w:val="left"/>
        <w:rPr>
          <w:rFonts w:ascii="Times New Roman" w:hAnsi="Times New Roman"/>
          <w:sz w:val="20"/>
        </w:rPr>
      </w:pPr>
      <w:r>
        <w:rPr>
          <w:rFonts w:ascii="Times New Roman" w:hAnsi="Times New Roman"/>
          <w:sz w:val="20"/>
        </w:rPr>
        <w:t xml:space="preserve">Dear Sir or Madam </w:t>
      </w:r>
    </w:p>
    <w:p>
      <w:pPr>
        <w:pStyle w:val="TextBody"/>
        <w:bidi w:val="0"/>
        <w:spacing w:before="360" w:after="0"/>
        <w:jc w:val="left"/>
        <w:rPr>
          <w:rFonts w:ascii="Times New Roman" w:hAnsi="Times New Roman"/>
          <w:sz w:val="20"/>
        </w:rPr>
      </w:pPr>
      <w:r>
        <w:rPr>
          <w:rFonts w:ascii="Times New Roman" w:hAnsi="Times New Roman"/>
          <w:b/>
          <w:sz w:val="20"/>
        </w:rPr>
        <w:t xml:space="preserve">XPeng Inc. (the </w:t>
      </w:r>
      <w:r>
        <w:rPr>
          <w:rFonts w:ascii="Times New Roman" w:hAnsi="Times New Roman"/>
          <w:b/>
          <w:i/>
          <w:sz w:val="20"/>
        </w:rPr>
        <w:t>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attorneys-at-law qualified to practise in the Cayman Islands and have acted as Cayman Islands legal advisers to the Company in connection with the Company’s registration statement on Form S-8 filed with the Securities and Exchange Commission (the </w:t>
      </w:r>
      <w:r>
        <w:rPr>
          <w:rFonts w:ascii="Times New Roman" w:hAnsi="Times New Roman"/>
          <w:b/>
          <w:i/>
          <w:sz w:val="20"/>
        </w:rPr>
        <w:t>Commission</w:t>
      </w:r>
      <w:r>
        <w:rPr>
          <w:rFonts w:ascii="Times New Roman" w:hAnsi="Times New Roman"/>
          <w:sz w:val="20"/>
        </w:rPr>
        <w:t xml:space="preserve">) under the United States Securities Act of 1933, as amended (the </w:t>
      </w:r>
      <w:r>
        <w:rPr>
          <w:rFonts w:ascii="Times New Roman" w:hAnsi="Times New Roman"/>
          <w:b/>
          <w:i/>
          <w:sz w:val="20"/>
        </w:rPr>
        <w:t>Securities Act</w:t>
      </w:r>
      <w:r>
        <w:rPr>
          <w:rFonts w:ascii="Times New Roman" w:hAnsi="Times New Roman"/>
          <w:sz w:val="20"/>
        </w:rPr>
        <w:t xml:space="preserve">) (the </w:t>
      </w:r>
      <w:r>
        <w:rPr>
          <w:rFonts w:ascii="Times New Roman" w:hAnsi="Times New Roman"/>
          <w:b/>
          <w:i/>
          <w:sz w:val="20"/>
        </w:rPr>
        <w:t>Registration Statement</w:t>
      </w:r>
      <w:r>
        <w:rPr>
          <w:rFonts w:ascii="Times New Roman" w:hAnsi="Times New Roman"/>
          <w:sz w:val="20"/>
        </w:rPr>
        <w:t xml:space="preserve">), relating to the offering by the Company of certain American depositary shares, each representing two class A ordinary shares of a par value of US$0.00001 each of the Company (the </w:t>
      </w:r>
      <w:r>
        <w:rPr>
          <w:rFonts w:ascii="Times New Roman" w:hAnsi="Times New Roman"/>
          <w:b/>
          <w:i/>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opinion as Exhibit 5.1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giving this opinion, we have examined the Documents (as defined in Schedule 1) which we regard as necessary in order to issue this opinion. We have not examined any other documents, official or corporate records or external or internal registers and have not undertaken or been instructed to undertake any further enquiry or due diligence in relation to the transaction which is the subject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giving this opinion we have relied upon the assumptions set out in Schedule 2 which we have not independently verified. </w:t>
      </w:r>
    </w:p>
    <w:p>
      <w:pPr>
        <w:pStyle w:val="TextBody"/>
        <w:bidi w:val="0"/>
        <w:spacing w:before="240" w:after="0"/>
        <w:jc w:val="left"/>
        <w:rPr>
          <w:rFonts w:ascii="Times New Roman" w:hAnsi="Times New Roman"/>
          <w:sz w:val="20"/>
        </w:rPr>
      </w:pPr>
      <w:r>
        <w:rPr>
          <w:rFonts w:ascii="Times New Roman" w:hAnsi="Times New Roman"/>
          <w:sz w:val="20"/>
        </w:rPr>
        <w:t xml:space="preserve">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Existence and Good Standing. </w:t>
            </w:r>
            <w:r>
              <w:rPr>
                <w:rFonts w:ascii="Times New Roman" w:hAnsi="Times New Roman"/>
                <w:sz w:val="20"/>
              </w:rPr>
              <w:t xml:space="preserve">The Company has been duly incorporated as an exempted company with limited liability and is validly existing and in good standing under the laws of the Cayman Islands.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16"/>
        <w:gridCol w:w="204"/>
        <w:gridCol w:w="4185"/>
      </w:tblGrid>
      <w:tr>
        <w:trPr/>
        <w:tc>
          <w:tcPr>
            <w:tcW w:w="581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5816" w:type="dxa"/>
            <w:tcBorders/>
          </w:tcPr>
          <w:p>
            <w:pPr>
              <w:pStyle w:val="TableContents"/>
              <w:bidi w:val="0"/>
              <w:spacing w:before="0" w:after="0"/>
              <w:jc w:val="left"/>
              <w:rPr>
                <w:rFonts w:ascii="Times New Roman" w:hAnsi="Times New Roman"/>
                <w:sz w:val="20"/>
              </w:rPr>
            </w:pPr>
            <w:r>
              <w:rPr>
                <w:rFonts w:ascii="Times New Roman" w:hAnsi="Times New Roman"/>
                <w:sz w:val="20"/>
              </w:rPr>
              <w:t>The British Virgin Islands is Harneys Hong Kong office’s main jurisdiction of practice.</w:t>
            </w:r>
          </w:p>
          <w:p>
            <w:pPr>
              <w:pStyle w:val="TableContents"/>
              <w:bidi w:val="0"/>
              <w:spacing w:before="0" w:after="0"/>
              <w:jc w:val="left"/>
              <w:rPr>
                <w:rFonts w:ascii="Times New Roman" w:hAnsi="Times New Roman"/>
                <w:sz w:val="20"/>
              </w:rPr>
            </w:pPr>
            <w:r>
              <w:rPr>
                <w:rFonts w:ascii="Times New Roman" w:hAnsi="Times New Roman"/>
                <w:sz w:val="20"/>
              </w:rPr>
              <w:t>Jersey legal services are provided through a referral arrangement with Harneys (Jersey) which is an independently owned and controlled Jersey law firm.</w:t>
            </w:r>
          </w:p>
          <w:p>
            <w:pPr>
              <w:pStyle w:val="TableContents"/>
              <w:bidi w:val="0"/>
              <w:spacing w:before="0" w:after="0"/>
              <w:jc w:val="left"/>
              <w:rPr>
                <w:rFonts w:ascii="Times New Roman" w:hAnsi="Times New Roman"/>
                <w:sz w:val="20"/>
              </w:rPr>
            </w:pPr>
            <w:r>
              <w:rPr>
                <w:rFonts w:ascii="Times New Roman" w:hAnsi="Times New Roman"/>
                <w:sz w:val="20"/>
              </w:rPr>
              <w:t>Resident Partners: M Chu | Y Fan | SG Gray | IC Groark | SO Karolczuk | PM Kay | MW Kwok</w:t>
            </w:r>
          </w:p>
          <w:p>
            <w:pPr>
              <w:pStyle w:val="TableContents"/>
              <w:bidi w:val="0"/>
              <w:spacing w:before="0" w:after="20"/>
              <w:jc w:val="left"/>
              <w:rPr>
                <w:rFonts w:ascii="Times New Roman" w:hAnsi="Times New Roman"/>
                <w:sz w:val="20"/>
              </w:rPr>
            </w:pPr>
            <w:r>
              <w:rPr>
                <w:rFonts w:ascii="Times New Roman" w:hAnsi="Times New Roman"/>
                <w:sz w:val="20"/>
              </w:rPr>
              <w:t>WPT Lee | IN Mann | BP McCosker | R Ng | PJ Sephton</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0"/>
              <w:jc w:val="right"/>
              <w:rPr>
                <w:rFonts w:ascii="Times New Roman" w:hAnsi="Times New Roman"/>
                <w:sz w:val="20"/>
              </w:rPr>
            </w:pPr>
            <w:r>
              <w:rPr>
                <w:rFonts w:ascii="Times New Roman" w:hAnsi="Times New Roman"/>
                <w:sz w:val="20"/>
              </w:rPr>
              <w:t>Anguilla | Bermuda | British Virgin Islands</w:t>
            </w:r>
          </w:p>
          <w:p>
            <w:pPr>
              <w:pStyle w:val="TableContents"/>
              <w:bidi w:val="0"/>
              <w:spacing w:before="0" w:after="0"/>
              <w:jc w:val="right"/>
              <w:rPr>
                <w:rFonts w:ascii="Times New Roman" w:hAnsi="Times New Roman"/>
                <w:sz w:val="20"/>
              </w:rPr>
            </w:pPr>
            <w:r>
              <w:rPr>
                <w:rFonts w:ascii="Times New Roman" w:hAnsi="Times New Roman"/>
                <w:sz w:val="20"/>
              </w:rPr>
              <w:t>Cayman Islands | Cyprus | Dubai | Hong Kong | Jersey</w:t>
            </w:r>
          </w:p>
          <w:p>
            <w:pPr>
              <w:pStyle w:val="TableContents"/>
              <w:bidi w:val="0"/>
              <w:spacing w:before="0" w:after="0"/>
              <w:jc w:val="right"/>
              <w:rPr>
                <w:rFonts w:ascii="Times New Roman" w:hAnsi="Times New Roman"/>
                <w:sz w:val="20"/>
              </w:rPr>
            </w:pPr>
            <w:r>
              <w:rPr>
                <w:rFonts w:ascii="Times New Roman" w:hAnsi="Times New Roman"/>
                <w:sz w:val="20"/>
              </w:rPr>
              <w:t>London | Luxembourg | Shanghai | Singapore</w:t>
            </w:r>
          </w:p>
          <w:p>
            <w:pPr>
              <w:pStyle w:val="TableContents"/>
              <w:bidi w:val="0"/>
              <w:spacing w:before="0" w:after="20"/>
              <w:jc w:val="right"/>
              <w:rPr>
                <w:rFonts w:ascii="Times New Roman" w:hAnsi="Times New Roman"/>
                <w:sz w:val="20"/>
              </w:rPr>
            </w:pPr>
            <w:r>
              <w:rPr>
                <w:rFonts w:ascii="Times New Roman" w:hAnsi="Times New Roman"/>
                <w:sz w:val="20"/>
              </w:rPr>
              <w:t>harneys.com</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Authorised Share Capital</w:t>
            </w:r>
            <w:r>
              <w:rPr>
                <w:rFonts w:ascii="Times New Roman" w:hAnsi="Times New Roman"/>
                <w:sz w:val="20"/>
              </w:rPr>
              <w:t xml:space="preserve">. Based on our review of the M&amp;A (as defined in Schedule 1), the authorized share capital of the Company is US$100,000 consisting of 10,000,000,000 shares comprising (i) 9,250,000,000 class A ordinary shares of a par value of US$0.00001 each (limited voting) and (ii) 750,000,000 class B ordinary shares of a par value of US$0.00001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Valid Issuance of Shares. </w:t>
            </w:r>
            <w:r>
              <w:rPr>
                <w:rFonts w:ascii="Times New Roman" w:hAnsi="Times New Roman"/>
                <w:sz w:val="20"/>
              </w:rPr>
              <w:t xml:space="preserve">The issue and allotment of the Shares as contemplated by the Registration Statement have been duly authorised and, when allotted, issued and fully paid for in accordance with the Registration Statement, and when name of the shareholder is entered in the register of members of the Company, the Shares will be validly issued, allotted,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above opinion, we hereby consent to the filing of this opinion as an exhibit to the Registration Statement. In giving such consent, we do not thereby admit that we come within the category of persons whose consent is required under Section 7 of the Securities Act, as amended,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referred to herein and shall not be construed as extending to any other matter or document not referred to herein. </w:t>
      </w:r>
    </w:p>
    <w:p>
      <w:pPr>
        <w:pStyle w:val="TextBody"/>
        <w:bidi w:val="0"/>
        <w:spacing w:before="240" w:after="0"/>
        <w:jc w:val="left"/>
        <w:rPr>
          <w:rFonts w:ascii="Times New Roman" w:hAnsi="Times New Roman"/>
          <w:sz w:val="20"/>
        </w:rPr>
      </w:pPr>
      <w:r>
        <w:rPr>
          <w:rFonts w:ascii="Times New Roman" w:hAnsi="Times New Roman"/>
          <w:sz w:val="20"/>
        </w:rPr>
        <w:t xml:space="preserve">This opinion shall be construed in accordance with the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Harney Westwood &amp; Riegels </w:t>
      </w:r>
    </w:p>
    <w:p>
      <w:pPr>
        <w:pStyle w:val="TextBody"/>
        <w:bidi w:val="0"/>
        <w:spacing w:before="240" w:after="0"/>
        <w:jc w:val="left"/>
        <w:rPr>
          <w:rFonts w:ascii="Times New Roman" w:hAnsi="Times New Roman"/>
          <w:b/>
          <w:sz w:val="20"/>
        </w:rPr>
      </w:pPr>
      <w:r>
        <w:rPr>
          <w:rFonts w:ascii="Times New Roman" w:hAnsi="Times New Roman"/>
          <w:b/>
          <w:sz w:val="20"/>
        </w:rPr>
        <w:t xml:space="preserve">Harney Westwood &amp; Riegels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sz w:val="20"/>
        </w:rPr>
      </w:pPr>
      <w:r>
        <w:rPr>
          <w:rFonts w:ascii="Times New Roman" w:hAnsi="Times New Roman"/>
          <w:sz w:val="20"/>
        </w:rPr>
        <w:t xml:space="preserve">List of Documents and Records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incorporation of the Company dated 27 December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tenth amended and restated memorandum and articles of association of the Company as adopted by a special resolution passed on 26 June 2026 (the </w:t>
            </w:r>
            <w:r>
              <w:rPr>
                <w:rFonts w:ascii="Times New Roman" w:hAnsi="Times New Roman"/>
                <w:b/>
                <w:i/>
                <w:sz w:val="20"/>
              </w:rPr>
              <w:t>M&amp;A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register of directors and officers of the Company provided to us on 18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good standing dated 31 August 2026 in respect of the Company, issued by the Registrar of Companies in the Cayman Islands (the </w:t>
            </w:r>
            <w:r>
              <w:rPr>
                <w:rFonts w:ascii="Times New Roman" w:hAnsi="Times New Roman"/>
                <w:b/>
                <w:i/>
                <w:sz w:val="20"/>
              </w:rPr>
              <w:t>Certificate of Good Standing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executed written resolutions of the directors of the Company dated 28 June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executed written resolutions of the directors of the Company dated 20 August 2020 and a copy of executed written resolutions of the members of the Company dated 20 August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minutes of a meeting of the directors of the Company dated 30 November 2020 and a copy of the minutes of a meeting of the directors of the Company dated 19 June 2021 (the </w:t>
            </w:r>
            <w:r>
              <w:rPr>
                <w:rFonts w:ascii="Times New Roman" w:hAnsi="Times New Roman"/>
                <w:b/>
                <w:i/>
                <w:sz w:val="20"/>
              </w:rPr>
              <w:t>Minutes</w:t>
            </w:r>
            <w:r>
              <w:rPr>
                <w:rFonts w:ascii="Times New Roman" w:hAnsi="Times New Roman"/>
                <w:sz w:val="20"/>
              </w:rPr>
              <w:t xml:space="preserve">, together with item 5 and 6 above, the </w:t>
            </w:r>
            <w:r>
              <w:rPr>
                <w:rFonts w:ascii="Times New Roman" w:hAnsi="Times New Roman"/>
                <w:b/>
                <w:i/>
                <w:sz w:val="20"/>
              </w:rPr>
              <w:t>Resolutions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a certificate issued by a director of the Company dated 9 September 2026, a copy of which is attached hereto (the </w:t>
            </w:r>
            <w:r>
              <w:rPr>
                <w:rFonts w:ascii="Times New Roman" w:hAnsi="Times New Roman"/>
                <w:b/>
                <w:i/>
                <w:sz w:val="20"/>
              </w:rPr>
              <w:t>Director’s Certificate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9</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second amended and restated 2019 equity incentive plan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to 7 above are the </w:t>
      </w:r>
      <w:r>
        <w:rPr>
          <w:rFonts w:ascii="Times New Roman" w:hAnsi="Times New Roman"/>
          <w:b/>
          <w:i/>
          <w:sz w:val="20"/>
        </w:rPr>
        <w:t>Corporate Documents</w:t>
      </w:r>
      <w:r>
        <w:rPr>
          <w:rFonts w:ascii="Times New Roman" w:hAnsi="Times New Roman"/>
          <w:sz w:val="20"/>
        </w:rPr>
        <w:t xml:space="preserve">, and 1 to 10 above are the </w:t>
      </w:r>
      <w:r>
        <w:rPr>
          <w:rFonts w:ascii="Times New Roman" w:hAnsi="Times New Roman"/>
          <w:b/>
          <w:i/>
          <w:sz w:val="20"/>
        </w:rPr>
        <w:t>Documents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120" w:after="0"/>
        <w:jc w:val="center"/>
        <w:rPr>
          <w:rFonts w:ascii="Times New Roman" w:hAnsi="Times New Roman"/>
          <w:sz w:val="20"/>
        </w:rPr>
      </w:pPr>
      <w:r>
        <w:rPr>
          <w:rFonts w:ascii="Times New Roman" w:hAnsi="Times New Roman"/>
          <w:sz w:val="20"/>
        </w:rPr>
        <w:t xml:space="preserve">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Authenticity of Documents.</w:t>
            </w:r>
            <w:r>
              <w:rPr>
                <w:rFonts w:ascii="Times New Roman" w:hAnsi="Times New Roman"/>
                <w:sz w:val="20"/>
              </w:rPr>
              <w:t xml:space="preserve"> All original Documents are authentic, all signatures, initials and seals are genuine, and all copies of Documents are true and correct copies.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Corporate Documents.</w:t>
            </w:r>
            <w:r>
              <w:rPr>
                <w:rFonts w:ascii="Times New Roman" w:hAnsi="Times New Roman"/>
                <w:sz w:val="20"/>
              </w:rPr>
              <w:t xml:space="preserve"> All matters required by law to be recorded in the Corporate Documents are so recorded, and all corporate minutes, resolutions, certificates, documents and records which we have reviewed are accurate and complete, and all facts expressed in or implied thereby are accurate and complete as at the date of the passing of the Resolutions.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Director’s Certificate</w:t>
            </w:r>
            <w:r>
              <w:rPr>
                <w:rFonts w:ascii="Times New Roman" w:hAnsi="Times New Roman"/>
                <w:sz w:val="20"/>
              </w:rPr>
              <w:t xml:space="preserve">. The contents of the Director’s Certificate are true and accurate as at the date of this opinion and there is no information not contained in the Director’s Certificate that will in any way affect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Constitutional Documents. </w:t>
            </w:r>
            <w:r>
              <w:rPr>
                <w:rFonts w:ascii="Times New Roman" w:hAnsi="Times New Roman"/>
                <w:sz w:val="20"/>
              </w:rPr>
              <w:t xml:space="preserve">The M&amp;A remain in full force and effect and are otherwise unamended.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Conversion.</w:t>
            </w:r>
            <w:r>
              <w:rPr>
                <w:rFonts w:ascii="Times New Roman" w:hAnsi="Times New Roman"/>
                <w:sz w:val="20"/>
              </w:rPr>
              <w:t xml:space="preserve"> The conversion of any shares in the capital of the Company will be effected via legally available means under Cayman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No Steps to Wind-up</w:t>
            </w:r>
            <w:r>
              <w:rPr>
                <w:rFonts w:ascii="Times New Roman" w:hAnsi="Times New Roman"/>
                <w:sz w:val="20"/>
              </w:rPr>
              <w:t xml:space="preserve">. The directors and shareholders of the Company have not taken any steps to have the Company struck off or placed in liquidation, no steps have been taken to wind up the Company and no receiver has been appointed over any of the property or assets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Resolutions.</w:t>
            </w:r>
            <w:r>
              <w:rPr>
                <w:rFonts w:ascii="Times New Roman" w:hAnsi="Times New Roman"/>
                <w:sz w:val="20"/>
              </w:rPr>
              <w:t xml:space="preserve"> The Resolutions (save for the Minutes) have been duly executed (and where by a corporate entity such execution has been duly authorised if so required) by or on behalf of each director, or by or on behalf of each shareholder in respect of the shareholder resolutions, and the signatures and initials thereon are those of a person or persons in whose name the Resolutions have been expressed to be signed. The Minutes were duly adopted at duly convened meetings of the board of directors and such meeting were held and conducted in accordance with the M&amp;A. The Resolutions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Unseen Documents.</w:t>
            </w:r>
            <w:r>
              <w:rPr>
                <w:rFonts w:ascii="Times New Roman" w:hAnsi="Times New Roman"/>
                <w:sz w:val="20"/>
              </w:rPr>
              <w:t xml:space="preserve"> Save for the Documents provided to us there are no resolutions, agreements, documents or arrangements which materially affect, amend or vary the transactions envisaged in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120" w:after="0"/>
        <w:jc w:val="center"/>
        <w:rPr>
          <w:rFonts w:ascii="Times New Roman" w:hAnsi="Times New Roman"/>
          <w:sz w:val="20"/>
        </w:rPr>
      </w:pPr>
      <w:r>
        <w:rPr>
          <w:rFonts w:ascii="Times New Roman" w:hAnsi="Times New Roman"/>
          <w:sz w:val="20"/>
        </w:rPr>
        <w:t xml:space="preserve">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Foreign Statutes.</w:t>
            </w:r>
            <w:r>
              <w:rPr>
                <w:rFonts w:ascii="Times New Roman" w:hAnsi="Times New Roman"/>
                <w:sz w:val="20"/>
              </w:rPr>
              <w:t xml:space="preserve"> We express no opinion in relation to provisions making reference to foreign statutes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Commercial Terms. </w:t>
            </w:r>
            <w:r>
              <w:rPr>
                <w:rFonts w:ascii="Times New Roman" w:hAnsi="Times New Roman"/>
                <w:sz w:val="20"/>
              </w:rPr>
              <w:t xml:space="preserve">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Meaning of Non-Assessable. </w:t>
            </w:r>
            <w:r>
              <w:rPr>
                <w:rFonts w:ascii="Times New Roman" w:hAnsi="Times New Roman"/>
                <w:sz w:val="20"/>
              </w:rPr>
              <w:t xml:space="preserve">In this opinion the phrase </w:t>
            </w:r>
            <w:r>
              <w:rPr>
                <w:rFonts w:ascii="Times New Roman" w:hAnsi="Times New Roman"/>
                <w:b/>
                <w:i/>
                <w:sz w:val="20"/>
              </w:rPr>
              <w:t>non-assessable</w:t>
            </w:r>
            <w:r>
              <w:rPr>
                <w:rFonts w:ascii="Times New Roman" w:hAnsi="Times New Roman"/>
                <w:sz w:val="20"/>
              </w:rPr>
              <w:t xml:space="preserv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Good Standing.</w:t>
            </w:r>
            <w:r>
              <w:rPr>
                <w:rFonts w:ascii="Times New Roman" w:hAnsi="Times New Roman"/>
                <w:sz w:val="20"/>
              </w:rPr>
              <w:t xml:space="preserve"> Our opinion as to good standing is based solely upon receipt of the Certificate of Good Standing. The Company shall be deemed to be in good standing under section 200A of the Companies Act (Revised) of the Cayman Islands (the </w:t>
            </w:r>
            <w:r>
              <w:rPr>
                <w:rFonts w:ascii="Times New Roman" w:hAnsi="Times New Roman"/>
                <w:b/>
                <w:i/>
                <w:sz w:val="20"/>
              </w:rPr>
              <w:t>Companies Act</w:t>
            </w:r>
            <w:r>
              <w:rPr>
                <w:rFonts w:ascii="Times New Roman" w:hAnsi="Times New Roman"/>
                <w:sz w:val="20"/>
              </w:rPr>
              <w:t xml:space="preserve">) on the date of issue of the certificate if all fees and penalties under the Companies Act have been paid and the Registrar of Companies in the Cayman Islands has no knowledge that the Company is in default under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Economic Substance.</w:t>
            </w:r>
            <w:r>
              <w:rPr>
                <w:rFonts w:ascii="Times New Roman" w:hAnsi="Times New Roman"/>
                <w:sz w:val="20"/>
              </w:rPr>
              <w:t xml:space="preserve"> We have undertaken no enquiry and express no view as to the compliance of the Company with the International Tax Co-operation (Economic Substance) Act (Revised).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w:t>
      </w:r>
    </w:p>
    <w:p>
      <w:pPr>
        <w:pStyle w:val="TextBody"/>
        <w:bidi w:val="0"/>
        <w:spacing w:before="120" w:after="0"/>
        <w:jc w:val="center"/>
        <w:rPr>
          <w:rFonts w:ascii="Times New Roman" w:hAnsi="Times New Roman"/>
          <w:b/>
          <w:sz w:val="20"/>
        </w:rPr>
      </w:pPr>
      <w:r>
        <w:rPr>
          <w:rFonts w:ascii="Times New Roman" w:hAnsi="Times New Roman"/>
          <w:b/>
          <w:sz w:val="20"/>
        </w:rPr>
        <w:t xml:space="preserve">Director’s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5" w:name="d143346dex232.htm"/>
      <w:bookmarkStart w:id="6" w:name="ksd143346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XPeng Inc. of our report dated April 16, 2026 relating to the financial statements and the effectiveness of internal control over financial reporting, which appears in XPeng Inc.’s Annual Report on Form 20-F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Zhong Tian LLP </w:t>
      </w:r>
    </w:p>
    <w:p>
      <w:pPr>
        <w:pStyle w:val="TextBody"/>
        <w:bidi w:val="0"/>
        <w:spacing w:before="0" w:after="0"/>
        <w:jc w:val="left"/>
        <w:rPr>
          <w:rFonts w:ascii="Times New Roman" w:hAnsi="Times New Roman"/>
          <w:sz w:val="20"/>
        </w:rPr>
      </w:pPr>
      <w:r>
        <w:rPr>
          <w:rFonts w:ascii="Times New Roman" w:hAnsi="Times New Roman"/>
          <w:sz w:val="20"/>
        </w:rPr>
        <w:t xml:space="preserve">Shenzhen, the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Normal"/>
        <w:bidi w:val="0"/>
        <w:spacing w:before="0" w:after="0"/>
        <w:jc w:val="left"/>
        <w:rPr>
          <w:sz w:val="4"/>
          <w:szCs w:val="4"/>
        </w:rPr>
      </w:pPr>
      <w:r>
        <w:rPr>
          <w:sz w:val="4"/>
          <w:szCs w:val="4"/>
        </w:rPr>
      </w:r>
      <w:bookmarkStart w:id="7" w:name="d143346dexfilingfees.htm"/>
      <w:bookmarkStart w:id="8" w:name="ksd143346dexfilingfees"/>
      <w:bookmarkStart w:id="9" w:name="d143346dexfilingfees.htm"/>
      <w:bookmarkStart w:id="10" w:name="ksd143346dexfilingfees"/>
      <w:bookmarkEnd w:id="9"/>
      <w:bookmarkEnd w:id="10"/>
      <w:r>
        <w:br w:type="page"/>
      </w:r>
    </w:p>
    <w:tbl>
      <w:tblPr>
        <w:tblW w:w="3556" w:type="dxa"/>
        <w:jc w:val="left"/>
        <w:tblInd w:w="0" w:type="dxa"/>
        <w:tblLayout w:type="fixed"/>
        <w:tblCellMar>
          <w:top w:w="28" w:type="dxa"/>
          <w:left w:w="28" w:type="dxa"/>
          <w:bottom w:w="28" w:type="dxa"/>
          <w:right w:w="28" w:type="dxa"/>
        </w:tblCellMar>
      </w:tblPr>
      <w:tblGrid>
        <w:gridCol w:w="3402"/>
        <w:gridCol w:w="154"/>
      </w:tblGrid>
      <w:tr>
        <w:trPr/>
        <w:tc>
          <w:tcPr>
            <w:tcW w:w="355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2" w:type="dxa"/>
            <w:tcBorders/>
            <w:vAlign w:val="center"/>
          </w:tcPr>
          <w:p>
            <w:pPr>
              <w:pStyle w:val="TableContents"/>
              <w:bidi w:val="0"/>
              <w:spacing w:before="0" w:after="283"/>
              <w:jc w:val="left"/>
              <w:rPr>
                <w:b/>
              </w:rPr>
            </w:pPr>
            <w:r>
              <w:rPr>
                <w:b/>
              </w:rPr>
              <w:t xml:space="preserve">XPENG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30"/>
        <w:gridCol w:w="1294"/>
        <w:gridCol w:w="1203"/>
        <w:gridCol w:w="1219"/>
        <w:gridCol w:w="1705"/>
        <w:gridCol w:w="1127"/>
        <w:gridCol w:w="1428"/>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30" w:type="dxa"/>
            <w:tcBorders/>
            <w:shd w:fill="E7E7E2" w:val="clear"/>
            <w:vAlign w:val="center"/>
          </w:tcPr>
          <w:p>
            <w:pPr>
              <w:pStyle w:val="TableContents"/>
              <w:bidi w:val="0"/>
              <w:spacing w:before="0" w:after="283"/>
              <w:jc w:val="left"/>
              <w:rPr/>
            </w:pPr>
            <w:r>
              <w:rPr/>
              <w:t xml:space="preserve">Class A ordinary shares, par value US$0.00001 per share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14,000,000 </w:t>
            </w:r>
          </w:p>
        </w:tc>
        <w:tc>
          <w:tcPr>
            <w:tcW w:w="1219" w:type="dxa"/>
            <w:tcBorders/>
            <w:shd w:fill="E7E7E2" w:val="clear"/>
            <w:vAlign w:val="center"/>
          </w:tcPr>
          <w:p>
            <w:pPr>
              <w:pStyle w:val="TableContents"/>
              <w:bidi w:val="0"/>
              <w:spacing w:before="0" w:after="283"/>
              <w:jc w:val="right"/>
              <w:rPr/>
            </w:pPr>
            <w:r>
              <w:rPr/>
              <w:t xml:space="preserve">$ 5.35 </w:t>
            </w:r>
          </w:p>
        </w:tc>
        <w:tc>
          <w:tcPr>
            <w:tcW w:w="1705" w:type="dxa"/>
            <w:tcBorders/>
            <w:shd w:fill="E7E7E2" w:val="clear"/>
            <w:vAlign w:val="center"/>
          </w:tcPr>
          <w:p>
            <w:pPr>
              <w:pStyle w:val="TableContents"/>
              <w:bidi w:val="0"/>
              <w:spacing w:before="0" w:after="283"/>
              <w:jc w:val="right"/>
              <w:rPr/>
            </w:pPr>
            <w:r>
              <w:rPr/>
              <w:t xml:space="preserve">$ 74,900,000.00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$ 10,343.69 </w:t>
            </w:r>
          </w:p>
        </w:tc>
      </w:tr>
      <w:tr>
        <w:trPr/>
        <w:tc>
          <w:tcPr>
            <w:tcW w:w="4726" w:type="dxa"/>
            <w:gridSpan w:val="5"/>
            <w:tcBorders/>
            <w:vAlign w:val="center"/>
          </w:tcPr>
          <w:p>
            <w:pPr>
              <w:pStyle w:val="TableContents"/>
              <w:bidi w:val="0"/>
              <w:spacing w:before="0" w:after="0"/>
              <w:ind w:left="0" w:right="0" w:hanging="0"/>
              <w:jc w:val="right"/>
              <w:rPr/>
            </w:pPr>
            <w:r>
              <w:rPr/>
              <w:t>Total Offering Amounts:</w:t>
            </w:r>
          </w:p>
        </w:tc>
        <w:tc>
          <w:tcPr>
            <w:tcW w:w="121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0"/>
              <w:ind w:left="0" w:right="0" w:hanging="0"/>
              <w:jc w:val="right"/>
              <w:rPr/>
            </w:pPr>
            <w:bookmarkStart w:id="11" w:name="MaxAggtOfferingPrice"/>
            <w:bookmarkEnd w:id="11"/>
            <w:r>
              <w:rPr/>
              <w:t xml:space="preserve">$ 74,900,000.00 </w:t>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$ 10,343.69 </w:t>
            </w:r>
          </w:p>
        </w:tc>
      </w:tr>
      <w:tr>
        <w:trPr/>
        <w:tc>
          <w:tcPr>
            <w:tcW w:w="4726" w:type="dxa"/>
            <w:gridSpan w:val="5"/>
            <w:tcBorders/>
            <w:vAlign w:val="center"/>
          </w:tcPr>
          <w:p>
            <w:pPr>
              <w:pStyle w:val="TableContents"/>
              <w:bidi w:val="0"/>
              <w:spacing w:before="0" w:after="0"/>
              <w:ind w:left="0" w:right="0" w:hanging="0"/>
              <w:jc w:val="right"/>
              <w:rPr/>
            </w:pPr>
            <w:r>
              <w:rPr/>
              <w:t xml:space="preserve">Total Fee Offsets: </w:t>
            </w:r>
          </w:p>
        </w:tc>
        <w:tc>
          <w:tcPr>
            <w:tcW w:w="121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26" w:type="dxa"/>
            <w:gridSpan w:val="5"/>
            <w:tcBorders/>
            <w:vAlign w:val="center"/>
          </w:tcPr>
          <w:p>
            <w:pPr>
              <w:pStyle w:val="TableContents"/>
              <w:bidi w:val="0"/>
              <w:spacing w:before="0" w:after="0"/>
              <w:ind w:left="0" w:right="0" w:hanging="0"/>
              <w:jc w:val="right"/>
              <w:rPr/>
            </w:pPr>
            <w:r>
              <w:rPr/>
              <w:t xml:space="preserve">Net Fee Due: </w:t>
            </w:r>
          </w:p>
        </w:tc>
        <w:tc>
          <w:tcPr>
            <w:tcW w:w="121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4" w:name="NetFeeAmt"/>
            <w:bookmarkEnd w:id="14"/>
            <w:r>
              <w:rPr/>
              <w:t xml:space="preserve">$ 10,343.69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Pursuant to Rule 416(a) under the Securities Act of 1933, as amended, the registration statement to which this exhibit 107 is a part includes an indeterminate number of additional Class A ordinary shares, par value US$0.00001 per share (the "Class A Ordinary Shares") of the Registrant, which may be offered and issued under the Second Amended and Restated 2019 Equity Incentive Plan, as amended (the "2019 Plan"), to prevent dilution from stock splits, stock dividends or similar transactions. (2) These Class A Ordinary Shares may be represented by the Registrant's American depositary shares ("ADSs"), each of which represents two Class A Ordinary Shares. ADSs issuable upon deposit of the securities registered hereby have been registered under separate registration statements on Form F-6 dated December 9, 2020, May 14, 2021, May 22, 2023 and September 13, 2024. (3) Estimated in accordance with Rule 457(c) and (h) solely for the purpose of calculating the registration fee based on the average of the high and low prices of the Registrant's ADSs as reported on the New York Stock Exchange on September 9, 2026 divided by two, the then Class A Ordinary Share-to-ADS ratio. (4) An additional 14,000,000 Class A Ordinary Shares are being registered on the registration statement to which this exhibit 107 is a part to cover the additional Class A Ordinary Shares that may be issued under the 2019 Plan, which were not previously registered under the Registrant's previous registration statements on Form S-8, as filed with the Securities and Exchange Commission on December 29, 2020 (File No. 333-251792), on June 21, 2022 (File No. 333-265733) and on September 13, 2024 (File No. 333-282085).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0997/000119312526157849/d36361d20f.htm" TargetMode="External"/><Relationship Id="rId3" Type="http://schemas.openxmlformats.org/officeDocument/2006/relationships/hyperlink" Target="http://www.sec.gov/Archives/edgar/data/1810997/000119312520226673/d926343d8a12b.htm" TargetMode="External"/><Relationship Id="rId4" Type="http://schemas.openxmlformats.org/officeDocument/2006/relationships/hyperlink" Target="http://www.sec.gov/Archives/edgar/data/1810997/000119312520212871/d890887df1.htm" TargetMode="External"/><Relationship Id="rId5" Type="http://schemas.openxmlformats.org/officeDocument/2006/relationships/hyperlink" Target="http://www.sec.gov/Archives/edgar/data/1810997/000119312526284719/d27129dex31.htm" TargetMode="External"/><Relationship Id="rId6" Type="http://schemas.openxmlformats.org/officeDocument/2006/relationships/hyperlink" Target="http://www.sec.gov/Archives/edgar/data/1810997/000119312521196858/d421201dex41.htm" TargetMode="External"/><Relationship Id="rId7" Type="http://schemas.openxmlformats.org/officeDocument/2006/relationships/hyperlink" Target="http://www.sec.gov/Archives/edgar/data/1472033/000119380520001060/e619883_ex99-a.htm" TargetMode="External"/><Relationship Id="rId8" Type="http://schemas.openxmlformats.org/officeDocument/2006/relationships/hyperlink" Target="http://www.sec.gov/Archives/edgar/data/1472033/000119380520001060/e619883_ex99-a.htm" TargetMode="External"/><Relationship Id="rId9" Type="http://schemas.openxmlformats.org/officeDocument/2006/relationships/hyperlink" Target="http://www.sec.gov/Archives/edgar/data/1472033/000119380523000765/e618649_ex99-ci.htm" TargetMode="External"/><Relationship Id="rId10" Type="http://schemas.openxmlformats.org/officeDocument/2006/relationships/hyperlink" Target="http://www.sec.gov/Archives/edgar/data/1472033/000119380521000666/e620503_ex99-c.htm" TargetMode="External"/><Relationship Id="rId11" Type="http://schemas.openxmlformats.org/officeDocument/2006/relationships/hyperlink" Target="http://www.sec.gov/Archives/edgar/data/1810997/000119312522125161/d281767dex417.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4484</Words>
  <Characters>23493</Characters>
  <CharactersWithSpaces>28016</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