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9675d6k.htm"/>
      <w:bookmarkStart w:id="1" w:name="ksd129675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October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001-39466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XPENG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No.10, Cencun Fengzhuang Avenue </w:t>
      </w:r>
    </w:p>
    <w:p>
      <w:pPr>
        <w:pStyle w:val="TextBody"/>
        <w:bidi w:val="0"/>
        <w:spacing w:before="0" w:after="0"/>
        <w:jc w:val="center"/>
        <w:rPr>
          <w:rFonts w:ascii="Times New Roman" w:hAnsi="Times New Roman"/>
          <w:b/>
          <w:sz w:val="20"/>
        </w:rPr>
      </w:pPr>
      <w:r>
        <w:rPr>
          <w:rFonts w:ascii="Times New Roman" w:hAnsi="Times New Roman"/>
          <w:b/>
          <w:sz w:val="20"/>
        </w:rPr>
        <w:t xml:space="preserve">Tianhe District, Guangzhou </w:t>
      </w:r>
    </w:p>
    <w:p>
      <w:pPr>
        <w:pStyle w:val="TextBody"/>
        <w:bidi w:val="0"/>
        <w:spacing w:before="0" w:after="0"/>
        <w:jc w:val="center"/>
        <w:rPr>
          <w:rFonts w:ascii="Times New Roman" w:hAnsi="Times New Roman"/>
          <w:b/>
          <w:sz w:val="20"/>
        </w:rPr>
      </w:pPr>
      <w:r>
        <w:rPr>
          <w:rFonts w:ascii="Times New Roman" w:hAnsi="Times New Roman"/>
          <w:b/>
          <w:sz w:val="20"/>
        </w:rPr>
        <w:t xml:space="preserve">Guangdong 510640 </w:t>
      </w:r>
    </w:p>
    <w:p>
      <w:pPr>
        <w:pStyle w:val="TextBody"/>
        <w:bidi w:val="0"/>
        <w:spacing w:before="0" w:after="0"/>
        <w:jc w:val="center"/>
        <w:rPr>
          <w:rFonts w:ascii="Times New Roman" w:hAnsi="Times New Roman"/>
          <w:b/>
          <w:sz w:val="20"/>
        </w:rPr>
      </w:pPr>
      <w:r>
        <w:rPr>
          <w:rFonts w:ascii="Times New Roman" w:hAnsi="Times New Roman"/>
          <w:b/>
          <w:sz w:val="20"/>
        </w:rPr>
        <w:t xml:space="preserve">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99"/>
        <w:gridCol w:w="319"/>
        <w:gridCol w:w="8687"/>
      </w:tblGrid>
      <w:tr>
        <w:trPr/>
        <w:tc>
          <w:tcPr>
            <w:tcW w:w="1199"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8687" w:type="dxa"/>
            <w:tcBorders/>
            <w:vAlign w:val="center"/>
          </w:tcPr>
          <w:p>
            <w:pPr>
              <w:pStyle w:val="TableContents"/>
              <w:bidi w:val="0"/>
              <w:spacing w:before="0" w:after="283"/>
              <w:jc w:val="left"/>
              <w:rPr>
                <w:sz w:val="4"/>
                <w:szCs w:val="4"/>
              </w:rPr>
            </w:pPr>
            <w:r>
              <w:rPr>
                <w:sz w:val="4"/>
                <w:szCs w:val="4"/>
              </w:rPr>
            </w:r>
          </w:p>
        </w:tc>
      </w:tr>
      <w:tr>
        <w:trPr/>
        <w:tc>
          <w:tcPr>
            <w:tcW w:w="1199" w:type="dxa"/>
            <w:tcBorders/>
          </w:tcPr>
          <w:p>
            <w:pPr>
              <w:pStyle w:val="TableContents"/>
              <w:bidi w:val="0"/>
              <w:spacing w:before="0" w:after="283"/>
              <w:jc w:val="left"/>
              <w:rPr/>
            </w:pPr>
            <w:r>
              <w:rPr/>
              <w:t>Exhibit 99.1</w:t>
            </w:r>
          </w:p>
        </w:tc>
        <w:tc>
          <w:tcPr>
            <w:tcW w:w="319" w:type="dxa"/>
            <w:tcBorders/>
            <w:vAlign w:val="bottom"/>
          </w:tcPr>
          <w:p>
            <w:pPr>
              <w:pStyle w:val="TableContents"/>
              <w:bidi w:val="0"/>
              <w:spacing w:before="0" w:after="283"/>
              <w:jc w:val="left"/>
              <w:rPr/>
            </w:pPr>
            <w:r>
              <w:rPr/>
              <w:t>  </w:t>
            </w:r>
          </w:p>
        </w:tc>
        <w:tc>
          <w:tcPr>
            <w:tcW w:w="8687" w:type="dxa"/>
            <w:tcBorders/>
          </w:tcPr>
          <w:p>
            <w:pPr>
              <w:pStyle w:val="TableContents"/>
              <w:bidi w:val="0"/>
              <w:spacing w:before="0" w:after="283"/>
              <w:jc w:val="left"/>
              <w:rPr/>
            </w:pPr>
            <w:hyperlink w:anchor="d129675dex991.htm">
              <w:r>
                <w:rPr>
                  <w:rStyle w:val="InternetLink"/>
                </w:rPr>
                <w:t xml:space="preserve">Press release: XPENG Announces Vehicle Delivery Results for September and Third Quarter 2026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38"/>
        <w:gridCol w:w="61"/>
        <w:gridCol w:w="3283"/>
      </w:tblGrid>
      <w:tr>
        <w:trPr/>
        <w:tc>
          <w:tcPr>
            <w:tcW w:w="73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28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XPENG INC.</w:t>
            </w:r>
          </w:p>
        </w:tc>
      </w:tr>
      <w:tr>
        <w:trPr>
          <w:trHeight w:val="240" w:hRule="atLeast"/>
        </w:trPr>
        <w:tc>
          <w:tcPr>
            <w:tcW w:w="738" w:type="dxa"/>
            <w:tcBorders/>
            <w:vAlign w:val="center"/>
          </w:tcPr>
          <w:p>
            <w:pPr>
              <w:pStyle w:val="TableContents"/>
              <w:bidi w:val="0"/>
              <w:spacing w:before="0" w:after="283"/>
              <w:jc w:val="left"/>
              <w:rPr>
                <w:sz w:val="4"/>
                <w:szCs w:val="4"/>
              </w:rPr>
            </w:pPr>
            <w:r>
              <w:rPr>
                <w:sz w:val="4"/>
                <w:szCs w:val="4"/>
              </w:rPr>
            </w:r>
          </w:p>
        </w:tc>
        <w:tc>
          <w:tcPr>
            <w:tcW w:w="3344"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283" w:type="dxa"/>
            <w:tcBorders>
              <w:bottom w:val="single" w:sz="2" w:space="0" w:color="000000"/>
            </w:tcBorders>
            <w:tcMar>
              <w:bottom w:w="28" w:type="dxa"/>
            </w:tcMar>
          </w:tcPr>
          <w:p>
            <w:pPr>
              <w:pStyle w:val="TableContents"/>
              <w:bidi w:val="0"/>
              <w:spacing w:before="0" w:after="283"/>
              <w:jc w:val="left"/>
              <w:rPr/>
            </w:pPr>
            <w:r>
              <w:rPr/>
              <w:t>/s/ Xiaopeng He</w:t>
            </w:r>
          </w:p>
        </w:tc>
      </w:tr>
      <w:tr>
        <w:trPr/>
        <w:tc>
          <w:tcPr>
            <w:tcW w:w="738"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283" w:type="dxa"/>
            <w:tcBorders/>
            <w:vAlign w:val="bottom"/>
          </w:tcPr>
          <w:p>
            <w:pPr>
              <w:pStyle w:val="TableContents"/>
              <w:bidi w:val="0"/>
              <w:spacing w:before="0" w:after="283"/>
              <w:jc w:val="left"/>
              <w:rPr/>
            </w:pPr>
            <w:r>
              <w:rPr/>
              <w:t>Xiaopeng He</w:t>
            </w:r>
          </w:p>
        </w:tc>
      </w:tr>
      <w:tr>
        <w:trPr/>
        <w:tc>
          <w:tcPr>
            <w:tcW w:w="738"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283" w:type="dxa"/>
            <w:tcBorders/>
            <w:vAlign w:val="bottom"/>
          </w:tcPr>
          <w:p>
            <w:pPr>
              <w:pStyle w:val="TableContents"/>
              <w:bidi w:val="0"/>
              <w:spacing w:before="0" w:after="283"/>
              <w:jc w:val="left"/>
              <w:rPr/>
            </w:pPr>
            <w:r>
              <w:rPr/>
              <w:t>Chairman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October 2, 2026 </w:t>
      </w:r>
    </w:p>
    <w:p>
      <w:pPr>
        <w:pStyle w:val="TextBody"/>
        <w:bidi w:val="0"/>
        <w:spacing w:before="0" w:after="0"/>
        <w:jc w:val="right"/>
        <w:rPr>
          <w:rFonts w:ascii="Times New Roman" w:hAnsi="Times New Roman"/>
          <w:b/>
          <w:sz w:val="20"/>
        </w:rPr>
      </w:pPr>
      <w:bookmarkStart w:id="2" w:name="d129675dex991.htm"/>
      <w:bookmarkStart w:id="3" w:name="ksd129675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XPENG Announces Vehicle Delivery Results for </w:t>
      </w:r>
    </w:p>
    <w:p>
      <w:pPr>
        <w:pStyle w:val="TextBody"/>
        <w:bidi w:val="0"/>
        <w:spacing w:before="0" w:after="0"/>
        <w:jc w:val="center"/>
        <w:rPr>
          <w:rFonts w:ascii="Times New Roman" w:hAnsi="Times New Roman"/>
          <w:b/>
          <w:sz w:val="20"/>
        </w:rPr>
      </w:pPr>
      <w:r>
        <w:rPr>
          <w:rFonts w:ascii="Times New Roman" w:hAnsi="Times New Roman"/>
          <w:b/>
          <w:sz w:val="20"/>
        </w:rPr>
        <w:t xml:space="preserve">September and Third Quarter 2026 </w:t>
      </w:r>
    </w:p>
    <w:p>
      <w:pPr>
        <w:pStyle w:val="TextBody"/>
        <w:bidi w:val="0"/>
        <w:spacing w:before="240" w:after="0"/>
        <w:jc w:val="left"/>
        <w:rPr>
          <w:rFonts w:ascii="Times New Roman" w:hAnsi="Times New Roman"/>
          <w:sz w:val="20"/>
        </w:rPr>
      </w:pPr>
      <w:r>
        <w:rPr>
          <w:rFonts w:ascii="Times New Roman" w:hAnsi="Times New Roman"/>
          <w:sz w:val="20"/>
        </w:rPr>
        <w:t xml:space="preserve">GUANGZHOU, China, Oct. 1, 2026 (PRNewswire) — XPeng Inc. (“XPENG” or the “Company,” NYSE: XPEV and HKEX: 9868), a leading global Physical AI company, today announced its vehicle delivery results for September and the third quarter of 2026.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2026, XPENG delivered 41,256 vehicles, representing a 5% increase over the prior month. Monthly deliveries of the XPENG L03 exceeded 10,000 units. </w:t>
      </w:r>
    </w:p>
    <w:p>
      <w:pPr>
        <w:pStyle w:val="TextBody"/>
        <w:bidi w:val="0"/>
        <w:spacing w:before="240" w:after="0"/>
        <w:jc w:val="left"/>
        <w:rPr>
          <w:rFonts w:ascii="Times New Roman" w:hAnsi="Times New Roman"/>
          <w:sz w:val="20"/>
        </w:rPr>
      </w:pPr>
      <w:r>
        <w:rPr>
          <w:rFonts w:ascii="Times New Roman" w:hAnsi="Times New Roman"/>
          <w:sz w:val="20"/>
        </w:rPr>
        <w:t xml:space="preserve">For the third quarter of 2026, XPENG delivered a total of 118,390 vehicles, marking a 15% increase over the previous quarter. </w:t>
      </w:r>
    </w:p>
    <w:p>
      <w:pPr>
        <w:pStyle w:val="TextBody"/>
        <w:bidi w:val="0"/>
        <w:spacing w:before="240" w:after="0"/>
        <w:jc w:val="left"/>
        <w:rPr>
          <w:rFonts w:ascii="Times New Roman" w:hAnsi="Times New Roman"/>
          <w:sz w:val="20"/>
        </w:rPr>
      </w:pPr>
      <w:r>
        <w:rPr>
          <w:rFonts w:ascii="Times New Roman" w:hAnsi="Times New Roman"/>
          <w:sz w:val="20"/>
        </w:rPr>
        <w:t xml:space="preserve">On September 17, 2026, XPENG officially launched the G9L, a premium flagship SUV featuring XPENG’s latest technologies, in China. The model’s global launch will take place in Paris, France, in October. </w:t>
      </w:r>
    </w:p>
    <w:p>
      <w:pPr>
        <w:pStyle w:val="TextBody"/>
        <w:bidi w:val="0"/>
        <w:spacing w:before="240" w:after="0"/>
        <w:jc w:val="left"/>
        <w:rPr>
          <w:rFonts w:ascii="Times New Roman" w:hAnsi="Times New Roman"/>
          <w:sz w:val="20"/>
        </w:rPr>
      </w:pPr>
      <w:r>
        <w:rPr>
          <w:rFonts w:ascii="Times New Roman" w:hAnsi="Times New Roman"/>
          <w:sz w:val="20"/>
        </w:rPr>
        <w:t xml:space="preserve">On September 22, 2026, XPENG began rolling out XOS 6.3.0 in China, powered by the latest version of its VLA 2.0 model.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2026, XPENG’s self-operated charging network in China covered more than 430 cities and comprised over 4,000 stations, including more than 3,510 ultra-fast charging stations, with over 22,200 charging piles in total. On September 15, XPENG opened its first-ever X-Energy megawatt ultra-fast charging station in Hong Kong. </w:t>
      </w:r>
    </w:p>
    <w:p>
      <w:pPr>
        <w:pStyle w:val="TextBody"/>
        <w:bidi w:val="0"/>
        <w:spacing w:before="240" w:after="0"/>
        <w:jc w:val="left"/>
        <w:rPr>
          <w:rFonts w:ascii="Times New Roman" w:hAnsi="Times New Roman"/>
          <w:sz w:val="20"/>
        </w:rPr>
      </w:pPr>
      <w:r>
        <w:rPr>
          <w:rFonts w:ascii="Times New Roman" w:hAnsi="Times New Roman"/>
          <w:sz w:val="20"/>
        </w:rPr>
        <w:t xml:space="preserve">XPENG’s electric vehicles delivered from January to September 2026 are expected to reduce life-cycle greenhouse gas emissions by more than 4.14 million tons compared to internal combustion engine vehicles, equivalent to the carbon absorbed by 68.53 million young trees over 10 years.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XPENG </w:t>
      </w:r>
    </w:p>
    <w:p>
      <w:pPr>
        <w:pStyle w:val="TextBody"/>
        <w:bidi w:val="0"/>
        <w:spacing w:before="120" w:after="0"/>
        <w:jc w:val="left"/>
        <w:rPr>
          <w:rFonts w:ascii="Times New Roman" w:hAnsi="Times New Roman"/>
          <w:sz w:val="20"/>
        </w:rPr>
      </w:pPr>
      <w:r>
        <w:rPr>
          <w:rFonts w:ascii="Times New Roman" w:hAnsi="Times New Roman"/>
          <w:sz w:val="20"/>
        </w:rPr>
        <w:t xml:space="preserve">XPENG is a leading global Physical AI company, dedicated to bringing artificial intelligence into the physical world to reshape future mobility and smart living. Through in-house R&amp;D, XPENG has developed a full-stack Physical AI architecture spanning Turing AI chips, world foundation models, and highly integrated software and hardware applications. This unified technology foundation of XPENG powers an expansive product portfolio of smart EVs, robotaxis, and humanoid robots, advancing the deployment of Physical AI at scale. Headquartered in Guangzhou, China, XPENG is dual-primary listed on the New York Stock Exchange and the Hong Kong Stock Exchange. With global capabilities across R&amp;D, manufacturing, sales, and services, XPENG drives continuous technological innovation and fosters an open Physical AI ecosystem, making life smarter, safer, and better for users worldwide. For more information, please visit https://www.xpeng.com/. </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announcement contains forward-looking statements. These statements are made under the “safe harbor” provisions of the United States Private Securities Litigation Reform Act of 1995. These forward-looking statements can be identified by terminology such as “will,” “expects,” “anticipates,” “future,” “intends,” “plans,” “believes,” “estimates” and similar statements. Statements that are not historical facts, including statements about XPENG’s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XPENG’s goal and strategies; XPENG’s expansion plans; XPENG’s future business development, financial condition and results of operations; the trends in, and size of, China’s EV market; XPENG’s expectations regarding demand for, and market acceptance of, its products and services; XPENG’s expectations regarding its relationships with customers, suppliers, third-party service providers, strategic partners and other stakeholders; general economic and business conditions; and assumptions underlying or related to any of the foregoing. Further information regarding these and other risks is included in XPENG’s filings with the United States Securities and Exchange Commission. All information provided in this announcement is as of the date of this announcement, and XPENG does not undertake any obligation to update any forward-looking statement, except as required under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b/>
          <w:sz w:val="20"/>
        </w:rPr>
      </w:pPr>
      <w:r>
        <w:rPr>
          <w:rFonts w:ascii="Times New Roman" w:hAnsi="Times New Roman"/>
          <w:b/>
          <w:sz w:val="20"/>
        </w:rPr>
        <w:t xml:space="preserve">For Investor Enquiries: </w:t>
      </w:r>
    </w:p>
    <w:p>
      <w:pPr>
        <w:pStyle w:val="TextBody"/>
        <w:bidi w:val="0"/>
        <w:spacing w:before="120" w:after="0"/>
        <w:jc w:val="left"/>
        <w:rPr>
          <w:rFonts w:ascii="Times New Roman" w:hAnsi="Times New Roman"/>
          <w:sz w:val="20"/>
        </w:rPr>
      </w:pPr>
      <w:r>
        <w:rPr>
          <w:rFonts w:ascii="Times New Roman" w:hAnsi="Times New Roman"/>
          <w:sz w:val="20"/>
        </w:rPr>
        <w:t xml:space="preserve">IR Department </w:t>
      </w:r>
    </w:p>
    <w:p>
      <w:pPr>
        <w:pStyle w:val="TextBody"/>
        <w:bidi w:val="0"/>
        <w:spacing w:before="0" w:after="0"/>
        <w:jc w:val="left"/>
        <w:rPr>
          <w:rFonts w:ascii="Times New Roman" w:hAnsi="Times New Roman"/>
          <w:sz w:val="20"/>
        </w:rPr>
      </w:pPr>
      <w:r>
        <w:rPr>
          <w:rFonts w:ascii="Times New Roman" w:hAnsi="Times New Roman"/>
          <w:sz w:val="20"/>
        </w:rPr>
        <w:t xml:space="preserve">XPeng Inc.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ir@xiaopeng.com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Jenny Cai </w:t>
      </w:r>
    </w:p>
    <w:p>
      <w:pPr>
        <w:pStyle w:val="TextBody"/>
        <w:bidi w:val="0"/>
        <w:spacing w:before="0" w:after="0"/>
        <w:jc w:val="left"/>
        <w:rPr>
          <w:rFonts w:ascii="Times New Roman" w:hAnsi="Times New Roman"/>
          <w:sz w:val="20"/>
        </w:rPr>
      </w:pPr>
      <w:r>
        <w:rPr>
          <w:rFonts w:ascii="Times New Roman" w:hAnsi="Times New Roman"/>
          <w:sz w:val="20"/>
        </w:rPr>
        <w:t xml:space="preserve">Piacente Financial Communications </w:t>
      </w:r>
    </w:p>
    <w:p>
      <w:pPr>
        <w:pStyle w:val="TextBody"/>
        <w:bidi w:val="0"/>
        <w:spacing w:before="0" w:after="0"/>
        <w:jc w:val="left"/>
        <w:rPr>
          <w:rFonts w:ascii="Times New Roman" w:hAnsi="Times New Roman"/>
          <w:sz w:val="20"/>
        </w:rPr>
      </w:pPr>
      <w:r>
        <w:rPr>
          <w:rFonts w:ascii="Times New Roman" w:hAnsi="Times New Roman"/>
          <w:sz w:val="20"/>
        </w:rPr>
        <w:t xml:space="preserve">Tel: +1 212 481 2050 / +86 10 6508 0677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xpeng@tpg-ir.com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 Media Enquiries: </w:t>
      </w:r>
    </w:p>
    <w:p>
      <w:pPr>
        <w:pStyle w:val="TextBody"/>
        <w:bidi w:val="0"/>
        <w:spacing w:before="120" w:after="0"/>
        <w:jc w:val="left"/>
        <w:rPr>
          <w:rFonts w:ascii="Times New Roman" w:hAnsi="Times New Roman"/>
          <w:sz w:val="20"/>
        </w:rPr>
      </w:pPr>
      <w:r>
        <w:rPr>
          <w:rFonts w:ascii="Times New Roman" w:hAnsi="Times New Roman"/>
          <w:sz w:val="20"/>
        </w:rPr>
        <w:t xml:space="preserve">PR Department </w:t>
      </w:r>
    </w:p>
    <w:p>
      <w:pPr>
        <w:pStyle w:val="TextBody"/>
        <w:bidi w:val="0"/>
        <w:spacing w:before="0" w:after="0"/>
        <w:jc w:val="left"/>
        <w:rPr>
          <w:rFonts w:ascii="Times New Roman" w:hAnsi="Times New Roman"/>
          <w:sz w:val="20"/>
        </w:rPr>
      </w:pPr>
      <w:r>
        <w:rPr>
          <w:rFonts w:ascii="Times New Roman" w:hAnsi="Times New Roman"/>
          <w:sz w:val="20"/>
        </w:rPr>
        <w:t xml:space="preserve">XPeng Inc.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pr@xiaopeng.com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Source: XPeng Inc.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780</Words>
  <Characters>4633</Characters>
  <CharactersWithSpaces>5433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