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December 2023</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8 Songgang Road, Changxing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Cencun, 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ind w:left="1320" w:hanging="1322"/>
        <w:spacing w:after="0" w:line="282" w:lineRule="auto"/>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 XPENG Announces the Closing of New Shares Issuance Pursuant to Share Purchase Agreement and Development under Technical Framework Agreement with Volkswagen</w:t>
      </w:r>
    </w:p>
    <w:p>
      <w:pPr>
        <w:spacing w:after="0" w:line="5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7"/>
          <w:szCs w:val="17"/>
          <w:u w:val="single" w:color="auto"/>
          <w:color w:val="0000EE"/>
        </w:rPr>
        <w:t>Announcement – Completion of Issue of New Shares Under General Mandate</w:t>
      </w:r>
    </w:p>
    <w:p>
      <w:pPr>
        <w:sectPr>
          <w:pgSz w:w="11900" w:h="16838" w:orient="portrait"/>
          <w:cols w:equalWidth="0" w:num="1">
            <w:col w:w="10740"/>
          </w:cols>
          <w:pgMar w:left="440" w:top="266"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Xiaopeng He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Announces the Closing of New Shares Issuance Pursuant to Share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Development under Technical Framework Agreement with Volkswagen</w:t>
      </w: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GUANGZHOU, China – Dec. 6, 2023 — XPeng Inc. (“XPENG” or the “Company,” NYSE: XPEV and HKEX: 9868), a leading Chinese smart electric vehicle (“Smart EV”) company, today announced, further to the Company’s news release dated July 26, 2023, in connection with the share purchase agreement for strategic minority investment by Volkswagen (China) Investment Co., Ltd. (“Volkswagen”) and its affiliate, Volkswagen Finance Luxemburg S.A. (“Volkswagen Nominee”), the Company has issued an aggregate of 94,079,255 Class A ordinary shares (the “Subscription Shares”), representing approximately 4.99% of the total issued and outstanding share capital of the Company immediately following the issuance, to Volkswagen Nominee at the purchase price of US$15 per ADS (each ADS representing two Class A ordinary shares). The total purchase price for all the Subscription Shares is approximately US$705.6 million.</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its Board of Directors (the “Board”) has approved the appointment of an individual nominated by Volkswagen Nominee to act as a non-voting observer to the Board.</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addition, pursuant to the Technical Framework Agreement on strategic technical collaboration with Volkswagen, XPENG and Volkswagen are making significant progress on the joint development of the two B-class battery electric vehicles (“BEV”) models. The project feasibility study has achieved positive outcome and has been completed. In addition, both parties are actively evaluating deeper strategic collaboration in Smart EV technologies.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XPENG</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 xml:space="preserve">XPENG is a leading Chinese Smart EV company that designs, develops, manufactures, and markets smart EVs that appeal to the large and growing base of technology-savvy middle-class consumers. Its mission is to drive Smart EV transformation with technology, shaping the mobility experience of the future. In order to optimize its customers’ mobility experience, XPENG develops in-house its full-stack advanced driver-assistance system technology and in-car intelligent operating system, as well as core vehicle systems including powertrain and the electrical/electronic architecture. XPENG is headquartered in Guangzhou, China, with main offices in Beijing, Shanghai, Silicon Valley, San Diego and Amsterdam. The Company’s Smart EVs are mainly manufactured at its plants in Zhaoqing and Guangzhou, Guangdong province. For more information, please visit </w:t>
      </w:r>
      <w:r>
        <w:rPr>
          <w:rFonts w:ascii="Times New Roman" w:cs="Times New Roman" w:eastAsia="Times New Roman" w:hAnsi="Times New Roman"/>
          <w:sz w:val="17"/>
          <w:szCs w:val="17"/>
          <w:u w:val="single" w:color="auto"/>
          <w:color w:val="auto"/>
        </w:rPr>
        <w:t>https://heyXPENG.com</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goals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contract manufacturers, suppliers, third-party service providers, strategic partners and other stakeholders; general economic and business conditions; and assumptions underlying or related to any of the foregoing. Further information regarding these and other risks is included in XPENG’s filings with the SEC. All information provided in this press release is as of the date of this press release, and XPENG does not undertake any obligation to update any forward-looking statement, except as required under applicable law.</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ir@xiaopeng.com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+1 212 481 2050 / +86 10 6508 0677</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xpeng@tpg-ir.com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Enquiries: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XPeng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pr@xiaopeng.com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XPeng Inc.</w:t>
      </w:r>
    </w:p>
    <w:p>
      <w:pPr>
        <w:sectPr>
          <w:pgSz w:w="11900" w:h="16838" w:orient="portrait"/>
          <w:cols w:equalWidth="0" w:num="1">
            <w:col w:w="10019"/>
          </w:cols>
          <w:pgMar w:left="4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announcement is for information purposes only and does not constitute an invitation or offer to acquire, purchase or subscribe for securities.</w:t>
      </w:r>
    </w:p>
    <w:p>
      <w:pPr>
        <w:spacing w:after="0" w:line="225" w:lineRule="exact"/>
        <w:rPr>
          <w:sz w:val="20"/>
          <w:szCs w:val="20"/>
          <w:color w:val="auto"/>
        </w:rPr>
      </w:pPr>
    </w:p>
    <w:p>
      <w:pPr>
        <w:ind w:right="760"/>
        <w:spacing w:after="0" w:line="315" w:lineRule="auto"/>
        <w:rPr>
          <w:sz w:val="20"/>
          <w:szCs w:val="20"/>
          <w:color w:val="auto"/>
        </w:rPr>
      </w:pPr>
      <w:r>
        <w:rPr>
          <w:rFonts w:ascii="Times New Roman" w:cs="Times New Roman" w:eastAsia="Times New Roman" w:hAnsi="Times New Roman"/>
          <w:sz w:val="17"/>
          <w:szCs w:val="17"/>
          <w:i w:val="1"/>
          <w:iCs w:val="1"/>
          <w:color w:val="auto"/>
        </w:rPr>
        <w:t>This announcement is not for release, publication, distribution, directly or indirectly, in or into the United States (including its territories and possessions, any state of the United States and the District of Columbia) or any other jurisdiction where such distribution is prohibited by law.</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This announcement does not constitute or form a part of any offer or solicitation to purchase or subscribe for securities in the United States or in any other jurisdiction. Securities may not be offered or sold in the United States absent registration or an exemption from registration under the U.S. Securities Act of 1933, as amended. Any public offering of our securities to be made in the United States will be made by means of a prospectus that may be obtained from the relevant underwriters and that will contain detailed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144145</wp:posOffset>
            </wp:positionV>
            <wp:extent cx="6017895" cy="1937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789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COMPLETION OF ISSUE OF NEW SHARES UNDER GENERAL MANDATE</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refers to its announcement dated 26 July 2023 (the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in relation to, among other things, (i) the Technical Framework Agreement on strategic technical collaboration with Volkswagen (China) Investment Co., Ltd. (“</w:t>
      </w:r>
      <w:r>
        <w:rPr>
          <w:rFonts w:ascii="Times New Roman" w:cs="Times New Roman" w:eastAsia="Times New Roman" w:hAnsi="Times New Roman"/>
          <w:sz w:val="18"/>
          <w:szCs w:val="18"/>
          <w:b w:val="1"/>
          <w:bCs w:val="1"/>
          <w:color w:val="auto"/>
        </w:rPr>
        <w:t>Volkswagen</w:t>
      </w:r>
      <w:r>
        <w:rPr>
          <w:rFonts w:ascii="Times New Roman" w:cs="Times New Roman" w:eastAsia="Times New Roman" w:hAnsi="Times New Roman"/>
          <w:sz w:val="18"/>
          <w:szCs w:val="18"/>
          <w:color w:val="auto"/>
        </w:rPr>
        <w:t>”), and (ii) the issue of Class A ordinary shares to Volkswagen (or a nominee of Volkswagen, which is an affiliate of Volkswagen) under the general mandate pursuant to the Share Purchase Agreement. Unless otherwise defined, capitalised terms used in this announcement shall have the same meaning as those defined in the Announcement.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INVESTMENT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Board is pleased to announce that all the conditions precedent set out in the Share Purchase Agreement had been fulfilled and completion of the Investment (the “</w:t>
      </w:r>
      <w:r>
        <w:rPr>
          <w:rFonts w:ascii="Times New Roman" w:cs="Times New Roman" w:eastAsia="Times New Roman" w:hAnsi="Times New Roman"/>
          <w:sz w:val="18"/>
          <w:szCs w:val="18"/>
          <w:b w:val="1"/>
          <w:bCs w:val="1"/>
          <w:color w:val="auto"/>
        </w:rPr>
        <w:t>Completion</w:t>
      </w:r>
      <w:r>
        <w:rPr>
          <w:rFonts w:ascii="Times New Roman" w:cs="Times New Roman" w:eastAsia="Times New Roman" w:hAnsi="Times New Roman"/>
          <w:sz w:val="18"/>
          <w:szCs w:val="18"/>
          <w:color w:val="auto"/>
        </w:rPr>
        <w:t>”) took place on 6 December 2023 in accordance with the terms and conditions of the Share Purchase Agreement. An aggregate of 94,079,255 Class A ordinary shares (the “</w:t>
      </w:r>
      <w:r>
        <w:rPr>
          <w:rFonts w:ascii="Times New Roman" w:cs="Times New Roman" w:eastAsia="Times New Roman" w:hAnsi="Times New Roman"/>
          <w:sz w:val="18"/>
          <w:szCs w:val="18"/>
          <w:b w:val="1"/>
          <w:bCs w:val="1"/>
          <w:color w:val="auto"/>
        </w:rPr>
        <w:t>Subscription Shares</w:t>
      </w:r>
      <w:r>
        <w:rPr>
          <w:rFonts w:ascii="Times New Roman" w:cs="Times New Roman" w:eastAsia="Times New Roman" w:hAnsi="Times New Roman"/>
          <w:sz w:val="18"/>
          <w:szCs w:val="18"/>
          <w:color w:val="auto"/>
        </w:rPr>
        <w:t>”), representing approximately 4.99% of the total issued and outstanding share capital of the Company immediately following the Completion, have been successfully allotted and issued to Volkswagen Finance Luxemburg S.A., an affiliate of Volkswagen (the “</w:t>
      </w:r>
      <w:r>
        <w:rPr>
          <w:rFonts w:ascii="Times New Roman" w:cs="Times New Roman" w:eastAsia="Times New Roman" w:hAnsi="Times New Roman"/>
          <w:sz w:val="18"/>
          <w:szCs w:val="18"/>
          <w:b w:val="1"/>
          <w:bCs w:val="1"/>
          <w:color w:val="auto"/>
        </w:rPr>
        <w:t>Investor Nominee</w:t>
      </w:r>
      <w:r>
        <w:rPr>
          <w:rFonts w:ascii="Times New Roman" w:cs="Times New Roman" w:eastAsia="Times New Roman" w:hAnsi="Times New Roman"/>
          <w:sz w:val="18"/>
          <w:szCs w:val="18"/>
          <w:color w:val="auto"/>
        </w:rPr>
        <w:t>”), at the Purchase Price of US$15 per ADS (equivalent to HK$58.6 per Class A ordinary share based on each ADS representing two Class A ordinary shares and an exchange rate of HK$7.8096 to US$1.00). The total nominal value of the Subscription Shares is US$940.79255.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total Purchase Price for all the Subscription Shares is approximately US$705.6 million. The net proceeds from the Investment (after deducting related costs and expenses payable by the Company) amounted to approximately US$704.6 million. The net Purchase Price (after deducting related costs and expenses payable by the Company) is approximately US$15 per ADS (equivalent to approximately HK$58.5 per Class A ordinary share based on each ADS representing two Class A ordinary shares and an exchange rate of HK$7.8096 to US$1.00). As disclosed in the Announcement, the Company plans to use the net proceeds from the Investment for general corporate purposes, including working capital needs.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THE SHARE CAPITAL STRUCTURE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 capital structure of the Company (a) immediately prior to the Completion and (b) immediately following the Completion is set out as follows:</w:t>
      </w:r>
    </w:p>
    <w:p>
      <w:pPr>
        <w:spacing w:after="0" w:line="2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020" w:type="dxa"/>
            <w:vAlign w:val="bottom"/>
            <w:gridSpan w:val="2"/>
            <w:vMerge w:val="restart"/>
          </w:tcPr>
          <w:p>
            <w:pPr>
              <w:ind w:left="4200"/>
              <w:spacing w:after="0"/>
              <w:rPr>
                <w:sz w:val="20"/>
                <w:szCs w:val="20"/>
                <w:color w:val="auto"/>
              </w:rPr>
            </w:pPr>
            <w:r>
              <w:rPr>
                <w:rFonts w:ascii="Times New Roman" w:cs="Times New Roman" w:eastAsia="Times New Roman" w:hAnsi="Times New Roman"/>
                <w:sz w:val="14"/>
                <w:szCs w:val="14"/>
                <w:b w:val="1"/>
                <w:bCs w:val="1"/>
                <w:color w:val="auto"/>
              </w:rPr>
              <w:t>Immediately prior to the Completion</w:t>
            </w:r>
          </w:p>
        </w:tc>
        <w:tc>
          <w:tcPr>
            <w:tcW w:w="3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Immediately following the</w:t>
            </w: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2000" w:type="dxa"/>
            <w:vAlign w:val="bottom"/>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Completion</w:t>
            </w:r>
          </w:p>
        </w:tc>
        <w:tc>
          <w:tcPr>
            <w:tcW w:w="11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i w:val="1"/>
                <w:iCs w:val="1"/>
                <w:color w:val="auto"/>
              </w:rPr>
              <w:t>Approximate</w:t>
            </w:r>
          </w:p>
        </w:tc>
        <w:tc>
          <w:tcPr>
            <w:tcW w:w="0" w:type="dxa"/>
            <w:vAlign w:val="bottom"/>
          </w:tcPr>
          <w:p>
            <w:pPr>
              <w:spacing w:after="0"/>
              <w:rPr>
                <w:sz w:val="1"/>
                <w:szCs w:val="1"/>
                <w:color w:val="auto"/>
              </w:rPr>
            </w:pPr>
          </w:p>
        </w:tc>
      </w:tr>
      <w:tr>
        <w:trPr>
          <w:trHeight w:val="107"/>
        </w:trPr>
        <w:tc>
          <w:tcPr>
            <w:tcW w:w="5360" w:type="dxa"/>
            <w:vAlign w:val="bottom"/>
          </w:tcPr>
          <w:p>
            <w:pPr>
              <w:spacing w:after="0"/>
              <w:rPr>
                <w:sz w:val="9"/>
                <w:szCs w:val="9"/>
                <w:color w:val="auto"/>
              </w:rPr>
            </w:pPr>
          </w:p>
        </w:tc>
        <w:tc>
          <w:tcPr>
            <w:tcW w:w="166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i w:val="1"/>
                <w:iCs w:val="1"/>
                <w:color w:val="auto"/>
              </w:rPr>
              <w:t>Approximate</w:t>
            </w:r>
          </w:p>
        </w:tc>
        <w:tc>
          <w:tcPr>
            <w:tcW w:w="20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1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66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w:t>
            </w:r>
          </w:p>
        </w:tc>
        <w:tc>
          <w:tcPr>
            <w:tcW w:w="200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i w:val="1"/>
                <w:iCs w:val="1"/>
                <w:color w:val="auto"/>
              </w:rPr>
              <w:t>number of</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6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i w:val="1"/>
                <w:iCs w:val="1"/>
                <w:color w:val="auto"/>
              </w:rPr>
              <w:t>number of shares</w:t>
            </w:r>
          </w:p>
        </w:tc>
        <w:tc>
          <w:tcPr>
            <w:tcW w:w="200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i w:val="1"/>
                <w:iCs w:val="1"/>
                <w:color w:val="auto"/>
              </w:rPr>
              <w:t>shares in issue</w:t>
            </w:r>
          </w:p>
        </w:tc>
        <w:tc>
          <w:tcPr>
            <w:tcW w:w="0" w:type="dxa"/>
            <w:vAlign w:val="bottom"/>
          </w:tcPr>
          <w:p>
            <w:pPr>
              <w:spacing w:after="0"/>
              <w:rPr>
                <w:sz w:val="1"/>
                <w:szCs w:val="1"/>
                <w:color w:val="auto"/>
              </w:rPr>
            </w:pPr>
          </w:p>
        </w:tc>
      </w:tr>
      <w:tr>
        <w:trPr>
          <w:trHeight w:val="148"/>
        </w:trPr>
        <w:tc>
          <w:tcPr>
            <w:tcW w:w="5360" w:type="dxa"/>
            <w:vAlign w:val="bottom"/>
            <w:vMerge w:val="restart"/>
          </w:tcPr>
          <w:p>
            <w:pPr>
              <w:ind w:left="3960"/>
              <w:spacing w:after="0"/>
              <w:rPr>
                <w:sz w:val="20"/>
                <w:szCs w:val="20"/>
                <w:color w:val="auto"/>
              </w:rPr>
            </w:pPr>
            <w:r>
              <w:rPr>
                <w:rFonts w:ascii="Times New Roman" w:cs="Times New Roman" w:eastAsia="Times New Roman" w:hAnsi="Times New Roman"/>
                <w:sz w:val="14"/>
                <w:szCs w:val="14"/>
                <w:i w:val="1"/>
                <w:iCs w:val="1"/>
                <w:color w:val="auto"/>
              </w:rPr>
              <w:t>Number of shares</w:t>
            </w:r>
          </w:p>
        </w:tc>
        <w:tc>
          <w:tcPr>
            <w:tcW w:w="166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i w:val="1"/>
                <w:iCs w:val="1"/>
                <w:color w:val="auto"/>
              </w:rPr>
              <w:t>in issue and</w:t>
            </w:r>
          </w:p>
        </w:tc>
        <w:tc>
          <w:tcPr>
            <w:tcW w:w="20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i w:val="1"/>
                <w:iCs w:val="1"/>
                <w:color w:val="auto"/>
              </w:rPr>
              <w:t>Number of shares</w:t>
            </w: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i w:val="1"/>
                <w:iCs w:val="1"/>
                <w:color w:val="auto"/>
                <w:w w:val="95"/>
              </w:rPr>
              <w:t>and</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1660" w:type="dxa"/>
            <w:vAlign w:val="bottom"/>
          </w:tcPr>
          <w:p>
            <w:pPr>
              <w:jc w:val="center"/>
              <w:ind w:left="28"/>
              <w:spacing w:after="0"/>
              <w:rPr>
                <w:sz w:val="20"/>
                <w:szCs w:val="20"/>
                <w:color w:val="auto"/>
              </w:rPr>
            </w:pPr>
            <w:r>
              <w:rPr>
                <w:rFonts w:ascii="Times New Roman" w:cs="Times New Roman" w:eastAsia="Times New Roman" w:hAnsi="Times New Roman"/>
                <w:sz w:val="14"/>
                <w:szCs w:val="14"/>
                <w:i w:val="1"/>
                <w:iCs w:val="1"/>
                <w:color w:val="auto"/>
              </w:rPr>
              <w:t>outstanding</w:t>
            </w:r>
          </w:p>
        </w:tc>
        <w:tc>
          <w:tcPr>
            <w:tcW w:w="2000" w:type="dxa"/>
            <w:vAlign w:val="bottom"/>
            <w:vMerge w:val="continue"/>
          </w:tcPr>
          <w:p>
            <w:pPr>
              <w:spacing w:after="0"/>
              <w:rPr>
                <w:sz w:val="15"/>
                <w:szCs w:val="15"/>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i w:val="1"/>
                <w:iCs w:val="1"/>
                <w:color w:val="auto"/>
              </w:rPr>
              <w:t>outstanding</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1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Investor Nominee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94,079,255</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Shareholders</w:t>
            </w:r>
          </w:p>
        </w:tc>
        <w:tc>
          <w:tcPr>
            <w:tcW w:w="2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1,442,568,318</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w:t>
            </w:r>
          </w:p>
        </w:tc>
        <w:tc>
          <w:tcPr>
            <w:tcW w:w="13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80.53%</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1,442,568,318</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0" w:type="dxa"/>
            <w:vAlign w:val="bottom"/>
          </w:tcPr>
          <w:p>
            <w:pPr>
              <w:spacing w:after="0"/>
              <w:rPr>
                <w:sz w:val="1"/>
                <w:szCs w:val="1"/>
                <w:color w:val="auto"/>
              </w:rPr>
            </w:pPr>
          </w:p>
        </w:tc>
      </w:tr>
      <w:tr>
        <w:trPr>
          <w:trHeight w:val="63"/>
        </w:trPr>
        <w:tc>
          <w:tcPr>
            <w:tcW w:w="2940" w:type="dxa"/>
            <w:vAlign w:val="bottom"/>
            <w:shd w:val="clear" w:color="auto" w:fill="CCEEFF"/>
          </w:tcPr>
          <w:p>
            <w:pPr>
              <w:spacing w:after="0"/>
              <w:rPr>
                <w:sz w:val="5"/>
                <w:szCs w:val="5"/>
                <w:color w:val="auto"/>
              </w:rPr>
            </w:pPr>
          </w:p>
        </w:tc>
        <w:tc>
          <w:tcPr>
            <w:tcW w:w="2080" w:type="dxa"/>
            <w:vAlign w:val="bottom"/>
            <w:vMerge w:val="continue"/>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1,442,568,318</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(Note)</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80.53%</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1,536,647,573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(Note)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348,708,257</w:t>
            </w:r>
          </w:p>
        </w:tc>
        <w:tc>
          <w:tcPr>
            <w:tcW w:w="7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348,708,257</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1,791,276,575</w:t>
            </w:r>
          </w:p>
        </w:tc>
        <w:tc>
          <w:tcPr>
            <w:tcW w:w="7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1,885,355,830</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Note: Excluding 9,052 Class A ordinary shares issued to the Company’s depository bank for bulk issuance of ADSs and reserved for future issuance upon the exercise or vesting of awards granted under the Company’s 2019 Equity Incentive Plan as of the date of this announcement.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OBSERVER ARRANGEMENT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disclosed in the Announcement, the Company has agreed to appoint an individual nominated by the Investor Nominee to act as a non-voting observer to the Board. The observer shall be subject to obligations of non-disclosure of, and no improper use of, confidential information (including inside information) relating to the Company’s business and the Company’s insider trading policies and procedures, as if such observer is a Director. The Company’s insider trading policies and procedures are in line with the applicable laws and regulations, including the Securities and Futures Ordinance (Chapter 571 of the laws of Hong Kong).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STRATEGIC TECHNICAL COLLABORATION</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In addition, pursuant to the Technical Framework Agreement on strategic technical collaboration with Volkswagen, XPENG and Volkswagen are making significant progress on the joint development of the two B-class battery electric vehicles models. The project feasibility study has achieved positive outcome and has been completed. In addition, both parties are actively evaluating deeper strategic collaboration in smart electric vehicle technologies.</w:t>
      </w:r>
    </w:p>
    <w:p>
      <w:pPr>
        <w:spacing w:after="0" w:line="207"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6 December 2023</w:t>
      </w:r>
    </w:p>
    <w:p>
      <w:pPr>
        <w:spacing w:after="0" w:line="223" w:lineRule="exact"/>
        <w:rPr>
          <w:sz w:val="20"/>
          <w:szCs w:val="20"/>
          <w:color w:val="auto"/>
        </w:rPr>
      </w:pPr>
    </w:p>
    <w:p>
      <w:pPr>
        <w:jc w:val="both"/>
        <w:ind w:left="4" w:right="300"/>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Xiaopeng He as an executive Director, Ms. Xiao Hu, Mr. Ji-Xun Foo and Mr. Fei Yang as non-executive Directors, and Mr. Donghao Yang, Ms. Fang Qu and Mr. HongJiang Zhang as independent non-executive Directors.</w:t>
      </w:r>
    </w:p>
    <w:p>
      <w:pPr>
        <w:spacing w:after="0" w:line="200" w:lineRule="exact"/>
        <w:rPr>
          <w:sz w:val="20"/>
          <w:szCs w:val="20"/>
          <w:color w:val="auto"/>
        </w:rPr>
      </w:pPr>
    </w:p>
    <w:p>
      <w:pPr>
        <w:ind w:left="224" w:hanging="224"/>
        <w:spacing w:after="0"/>
        <w:tabs>
          <w:tab w:leader="none" w:pos="22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 identification purpose only</w:t>
      </w:r>
    </w:p>
    <w:p>
      <w:pPr>
        <w:spacing w:after="0" w:line="160" w:lineRule="exact"/>
        <w:rPr>
          <w:sz w:val="20"/>
          <w:szCs w:val="20"/>
          <w:color w:val="auto"/>
        </w:rPr>
      </w:pPr>
    </w:p>
    <w:p>
      <w:pPr>
        <w:jc w:val="center"/>
        <w:ind w:right="-423"/>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584"/>
      </w:cols>
      <w:pgMar w:left="436" w:top="26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2023-12-06T05:23:20Z</dcterms:created>
  <dcterms:modified xsi:type="dcterms:W3CDTF">2023-12-06T05:23:20Z</dcterms:modified>
</cp:coreProperties>
</file>