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257810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14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Announcement: Grant of Restricted Share Units</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66"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Xiaopeng He</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140335</wp:posOffset>
            </wp:positionV>
            <wp:extent cx="102870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31" w:lineRule="exact"/>
        <w:rPr>
          <w:sz w:val="20"/>
          <w:szCs w:val="20"/>
          <w:color w:val="auto"/>
        </w:rPr>
      </w:pPr>
    </w:p>
    <w:p>
      <w:pPr>
        <w:jc w:val="center"/>
        <w:spacing w:after="0" w:line="207" w:lineRule="exact"/>
        <w:rPr>
          <w:sz w:val="20"/>
          <w:szCs w:val="20"/>
          <w:color w:val="auto"/>
        </w:rPr>
      </w:pPr>
      <w:r>
        <w:rPr>
          <w:rFonts w:ascii="PMingLiU" w:cs="PMingLiU" w:eastAsia="PMingLiU" w:hAnsi="PMingLiU"/>
          <w:sz w:val="16"/>
          <w:szCs w:val="16"/>
          <w:color w:val="auto"/>
          <w:highlight w:val="black"/>
        </w:rPr>
        <w:t>小鵬集團</w:t>
      </w:r>
      <w:r>
        <w:rPr>
          <w:rFonts w:ascii="Times New Roman" w:cs="Times New Roman" w:eastAsia="Times New Roman" w:hAnsi="Times New Roman"/>
          <w:sz w:val="18"/>
          <w:szCs w:val="18"/>
          <w:b w:val="1"/>
          <w:bCs w:val="1"/>
          <w:color w:val="auto"/>
        </w:rPr>
        <w: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jc w:val="center"/>
        <w:spacing w:after="0" w:line="207" w:lineRule="exact"/>
        <w:rPr>
          <w:sz w:val="20"/>
          <w:szCs w:val="20"/>
          <w:color w:val="auto"/>
        </w:rPr>
      </w:pPr>
      <w:r>
        <w:rPr>
          <w:rFonts w:ascii="PMingLiU" w:cs="PMingLiU" w:eastAsia="PMingLiU" w:hAnsi="PMingLiU"/>
          <w:sz w:val="16"/>
          <w:szCs w:val="16"/>
          <w:color w:val="auto"/>
        </w:rPr>
        <w:t>（</w:t>
      </w:r>
      <w:r>
        <w:rPr>
          <w:rFonts w:ascii="Times New Roman" w:cs="Times New Roman" w:eastAsia="Times New Roman" w:hAnsi="Times New Roman"/>
          <w:sz w:val="18"/>
          <w:szCs w:val="18"/>
          <w:b w:val="1"/>
          <w:bCs w:val="1"/>
          <w:color w:val="auto"/>
        </w:rPr>
        <w:t>Stock Code</w:t>
      </w:r>
      <w:r>
        <w:rPr>
          <w:rFonts w:ascii="PMingLiU" w:cs="PMingLiU" w:eastAsia="PMingLiU" w:hAnsi="PMingLiU"/>
          <w:sz w:val="16"/>
          <w:szCs w:val="16"/>
          <w:color w:val="auto"/>
        </w:rPr>
        <w:t>：</w:t>
      </w:r>
      <w:r>
        <w:rPr>
          <w:rFonts w:ascii="Times New Roman" w:cs="Times New Roman" w:eastAsia="Times New Roman" w:hAnsi="Times New Roman"/>
          <w:sz w:val="18"/>
          <w:szCs w:val="18"/>
          <w:b w:val="1"/>
          <w:bCs w:val="1"/>
          <w:color w:val="auto"/>
        </w:rPr>
        <w:t>9868</w:t>
      </w:r>
      <w:r>
        <w:rPr>
          <w:rFonts w:ascii="PMingLiU" w:cs="PMingLiU" w:eastAsia="PMingLiU" w:hAnsi="PMingLiU"/>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-115570</wp:posOffset>
            </wp:positionV>
            <wp:extent cx="52070"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70" cy="11747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-97155</wp:posOffset>
            </wp:positionV>
            <wp:extent cx="41275" cy="81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275" cy="8191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RESTRICTED SHARE UNITS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announces that, on April 17, 2026, the Company granted an aggregate of 2,256,962 RSUs (representing equal number of underlying Class A ordinary shares) to 69 Employees (the “</w:t>
      </w:r>
      <w:r>
        <w:rPr>
          <w:rFonts w:ascii="Times New Roman" w:cs="Times New Roman" w:eastAsia="Times New Roman" w:hAnsi="Times New Roman"/>
          <w:sz w:val="18"/>
          <w:szCs w:val="18"/>
          <w:b w:val="1"/>
          <w:bCs w:val="1"/>
          <w:color w:val="auto"/>
        </w:rPr>
        <w:t>RSU Grants</w:t>
      </w:r>
      <w:r>
        <w:rPr>
          <w:rFonts w:ascii="Times New Roman" w:cs="Times New Roman" w:eastAsia="Times New Roman" w:hAnsi="Times New Roman"/>
          <w:sz w:val="18"/>
          <w:szCs w:val="18"/>
          <w:color w:val="auto"/>
        </w:rPr>
        <w:t>”) pursuant to the 2025 Share Incentive Scheme, subject to the acceptance by the Grantees. None of the RSU Grants will be subject to the Shareholders’ approval, and none of the Grantees is a Director, chief executive or substantial shareholder of the Company, or an associate of any of them.</w:t>
      </w:r>
    </w:p>
    <w:p>
      <w:pPr>
        <w:spacing w:after="0" w:line="180"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RSU Grants are subject to the terms and conditions of the 2025 Share Incentive Scheme and the award agreements entered into between the Company and each of the Grantees. The principal terms of the 2025 Share Incentive Scheme were set out in the proxy statement / circular of the Company dated May 12, 2025.</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Hong Kong Stock Exchange had granted approval for the listing of, and permission to deal in, the new Class A ordinary shares underlying the Awards which may be granted pursuant to the 2025 Share Incentive Scheme. The issue of 2,256,962 new Class A ordinary shares to satisfy such RSU Grants under the 2025 Share Incentive Scheme will not be subject to the Shareholders’ approval and such new Class A ordinary shares (or represented by corresponding ADSs as appropriate) will be allotted and issued to the Grantees, subject to the satisfaction of the vesting conditions specified in the award agreements.</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RSU Grants would not result in the Options and Awards granted and to be granted to each individual Grantee in the 12-month period up to and including the date of such grant in aggregate to exceed 1% of the Shares in issue.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RSUs granted are set out below:</w:t>
      </w:r>
    </w:p>
    <w:p>
      <w:pPr>
        <w:sectPr>
          <w:pgSz w:w="11900" w:h="16838" w:orient="portrait"/>
          <w:cols w:equalWidth="0" w:num="1">
            <w:col w:w="11020"/>
          </w:cols>
          <w:pgMar w:left="440" w:top="117" w:right="4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17, 2026</w:t>
      </w:r>
    </w:p>
    <w:p>
      <w:pPr>
        <w:spacing w:after="0" w:line="125" w:lineRule="exact"/>
        <w:rPr>
          <w:sz w:val="20"/>
          <w:szCs w:val="20"/>
          <w:color w:val="auto"/>
        </w:rPr>
      </w:pPr>
    </w:p>
    <w:p>
      <w:pPr>
        <w:sectPr>
          <w:pgSz w:w="11900" w:h="16838" w:orient="portrait"/>
          <w:cols w:equalWidth="0" w:num="2">
            <w:col w:w="1820" w:space="720"/>
            <w:col w:w="84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Total 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2,256,962</w:t>
      </w:r>
    </w:p>
    <w:p>
      <w:pPr>
        <w:spacing w:after="0" w:line="113" w:lineRule="exact"/>
        <w:rPr>
          <w:sz w:val="20"/>
          <w:szCs w:val="20"/>
          <w:color w:val="auto"/>
        </w:rPr>
      </w:pPr>
    </w:p>
    <w:p>
      <w:pPr>
        <w:sectPr>
          <w:pgSz w:w="11900" w:h="16838" w:orient="portrait"/>
          <w:cols w:equalWidth="0" w:num="2">
            <w:col w:w="2360" w:space="180"/>
            <w:col w:w="8480"/>
          </w:cols>
          <w:pgMar w:left="440" w:top="117" w:right="439" w:bottom="1440" w:gutter="0" w:footer="0" w:header="0"/>
          <w:type w:val="continuous"/>
        </w:sect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Purchase price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Nil</w:t>
      </w:r>
    </w:p>
    <w:p>
      <w:pPr>
        <w:spacing w:after="0" w:line="340" w:lineRule="exact"/>
        <w:rPr>
          <w:sz w:val="20"/>
          <w:szCs w:val="20"/>
          <w:color w:val="auto"/>
        </w:rPr>
      </w:pPr>
    </w:p>
    <w:p>
      <w:pPr>
        <w:sectPr>
          <w:pgSz w:w="11900" w:h="16838" w:orient="portrait"/>
          <w:cols w:equalWidth="0" w:num="2">
            <w:col w:w="1820" w:space="720"/>
            <w:col w:w="8480"/>
          </w:cols>
          <w:pgMar w:left="440" w:top="117" w:right="439" w:bottom="1440" w:gutter="0" w:footer="0" w:header="0"/>
          <w:type w:val="continuous"/>
        </w:sect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Closing price of the Class A ordinary shares on the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HK$69.700 per Share</w:t>
      </w:r>
    </w:p>
    <w:p>
      <w:pPr>
        <w:spacing w:after="0" w:line="600" w:lineRule="exact"/>
        <w:rPr>
          <w:sz w:val="20"/>
          <w:szCs w:val="20"/>
          <w:color w:val="auto"/>
        </w:rPr>
      </w:pPr>
    </w:p>
    <w:p>
      <w:pPr>
        <w:sectPr>
          <w:pgSz w:w="11900" w:h="16838" w:orient="portrait"/>
          <w:cols w:equalWidth="0" w:num="2">
            <w:col w:w="2300" w:space="240"/>
            <w:col w:w="8480"/>
          </w:cols>
          <w:pgMar w:left="440" w:top="117"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20"/>
          </w:cols>
          <w:pgMar w:left="440" w:top="117" w:right="439" w:bottom="1440" w:gutter="0" w:footer="0" w:header="0"/>
          <w:type w:val="continuous"/>
        </w:sectPr>
      </w:pPr>
    </w:p>
    <w:bookmarkStart w:id="4" w:name="page5"/>
    <w:bookmarkEnd w:id="4"/>
    <w:p>
      <w:pPr>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Vesting condition and periods</w:t>
      </w:r>
      <w:r>
        <w:rPr>
          <w:sz w:val="20"/>
          <w:szCs w:val="20"/>
          <w:color w:val="auto"/>
        </w:rPr>
        <w:tab/>
      </w:r>
      <w:r>
        <w:rPr>
          <w:rFonts w:ascii="Times New Roman" w:cs="Times New Roman" w:eastAsia="Times New Roman" w:hAnsi="Times New Roman"/>
          <w:sz w:val="17"/>
          <w:szCs w:val="17"/>
          <w:color w:val="auto"/>
        </w:rPr>
        <w:t>The RSUs shall be subject to a service-based vesting condition.</w:t>
      </w:r>
    </w:p>
    <w:p>
      <w:pPr>
        <w:spacing w:after="0" w:line="135" w:lineRule="exact"/>
        <w:rPr>
          <w:sz w:val="20"/>
          <w:szCs w:val="20"/>
          <w:color w:val="auto"/>
        </w:rPr>
      </w:pPr>
    </w:p>
    <w:p>
      <w:pPr>
        <w:ind w:left="2540"/>
        <w:spacing w:after="0" w:line="282" w:lineRule="auto"/>
        <w:rPr>
          <w:sz w:val="20"/>
          <w:szCs w:val="20"/>
          <w:color w:val="auto"/>
        </w:rPr>
      </w:pPr>
      <w:r>
        <w:rPr>
          <w:rFonts w:ascii="Times New Roman" w:cs="Times New Roman" w:eastAsia="Times New Roman" w:hAnsi="Times New Roman"/>
          <w:sz w:val="18"/>
          <w:szCs w:val="18"/>
          <w:color w:val="auto"/>
        </w:rPr>
        <w:t>Subject to the terms of the RSU Grants and the 2025 Share Incentive Scheme, the RSUs granted to the Grantees shall vest in accordance with the following schedule:</w:t>
      </w:r>
    </w:p>
    <w:p>
      <w:pPr>
        <w:spacing w:after="0" w:line="67" w:lineRule="exact"/>
        <w:rPr>
          <w:sz w:val="20"/>
          <w:szCs w:val="20"/>
          <w:color w:val="auto"/>
        </w:rPr>
      </w:pPr>
    </w:p>
    <w:p>
      <w:pPr>
        <w:ind w:left="2880" w:right="20" w:hanging="359"/>
        <w:spacing w:after="0" w:line="282" w:lineRule="auto"/>
        <w:tabs>
          <w:tab w:leader="none" w:pos="2860" w:val="left"/>
        </w:tabs>
        <w:rPr>
          <w:sz w:val="20"/>
          <w:szCs w:val="20"/>
          <w:color w:val="auto"/>
        </w:rPr>
      </w:pPr>
      <w:r>
        <w:rPr>
          <w:rFonts w:ascii="Times New Roman" w:cs="Times New Roman" w:eastAsia="Times New Roman" w:hAnsi="Times New Roman"/>
          <w:sz w:val="18"/>
          <w:szCs w:val="18"/>
          <w:color w:val="auto"/>
        </w:rPr>
        <w:t xml:space="preserve">(i) </w:t>
        <w:tab/>
        <w:t>approximately 79.8% of the RSUs granted under the RSU Grants shall vest in equal portions of 25% on April 1, 2027, April 1, 2028, April 1, 2029 and April 1, 2030, respectively;</w:t>
      </w:r>
    </w:p>
    <w:p>
      <w:pPr>
        <w:spacing w:after="0" w:line="67" w:lineRule="exact"/>
        <w:rPr>
          <w:sz w:val="20"/>
          <w:szCs w:val="20"/>
          <w:color w:val="auto"/>
        </w:rPr>
      </w:pPr>
    </w:p>
    <w:p>
      <w:pPr>
        <w:ind w:left="2900" w:right="100" w:hanging="359"/>
        <w:spacing w:after="0" w:line="282" w:lineRule="auto"/>
        <w:rPr>
          <w:sz w:val="20"/>
          <w:szCs w:val="20"/>
          <w:color w:val="auto"/>
        </w:rPr>
      </w:pPr>
      <w:r>
        <w:rPr>
          <w:rFonts w:ascii="Times New Roman" w:cs="Times New Roman" w:eastAsia="Times New Roman" w:hAnsi="Times New Roman"/>
          <w:sz w:val="18"/>
          <w:szCs w:val="18"/>
          <w:color w:val="auto"/>
        </w:rPr>
        <w:t>(ii)   approximately 1.7% of the RSUs granted under the RSU Grants shall vest in equal portions of 25% on October 1, 2026, October 1, 2027, October 1, 2028 and October 1, 2029, respectively;</w:t>
      </w:r>
    </w:p>
    <w:p>
      <w:pPr>
        <w:spacing w:after="0" w:line="67" w:lineRule="exact"/>
        <w:rPr>
          <w:sz w:val="20"/>
          <w:szCs w:val="20"/>
          <w:color w:val="auto"/>
        </w:rPr>
      </w:pPr>
    </w:p>
    <w:p>
      <w:pPr>
        <w:ind w:left="2900" w:right="200" w:hanging="359"/>
        <w:spacing w:after="0" w:line="282" w:lineRule="auto"/>
        <w:rPr>
          <w:sz w:val="20"/>
          <w:szCs w:val="20"/>
          <w:color w:val="auto"/>
        </w:rPr>
      </w:pPr>
      <w:r>
        <w:rPr>
          <w:rFonts w:ascii="Times New Roman" w:cs="Times New Roman" w:eastAsia="Times New Roman" w:hAnsi="Times New Roman"/>
          <w:sz w:val="18"/>
          <w:szCs w:val="18"/>
          <w:color w:val="auto"/>
        </w:rPr>
        <w:t>(iii)  approximately 2.5% of the RSUs granted under the RSU Grants shall vest in equal portions of 25% on July 1, 2026, July 1, 2027, July 1, 2028 and July 1, 2029, respectively; and</w:t>
      </w:r>
    </w:p>
    <w:p>
      <w:pPr>
        <w:spacing w:after="0" w:line="67" w:lineRule="exact"/>
        <w:rPr>
          <w:sz w:val="20"/>
          <w:szCs w:val="20"/>
          <w:color w:val="auto"/>
        </w:rPr>
      </w:pPr>
    </w:p>
    <w:p>
      <w:pPr>
        <w:ind w:left="2900" w:right="20" w:hanging="359"/>
        <w:spacing w:after="0" w:line="261" w:lineRule="auto"/>
        <w:rPr>
          <w:sz w:val="20"/>
          <w:szCs w:val="20"/>
          <w:color w:val="auto"/>
        </w:rPr>
      </w:pPr>
      <w:r>
        <w:rPr>
          <w:rFonts w:ascii="Times New Roman" w:cs="Times New Roman" w:eastAsia="Times New Roman" w:hAnsi="Times New Roman"/>
          <w:sz w:val="18"/>
          <w:szCs w:val="18"/>
          <w:color w:val="auto"/>
        </w:rPr>
        <w:t>(iv)  for 16% of the RSUs granted under the RSU Grants, 25% of which shall vest on April 1, 2027, and the remaining 75% shall vest in equal portions of 6.25% on July 1, 2027, October 1, 2027, January 1, 2028, April 1, 2028, July 1, 2028, October 1, 2028, January 1, 2029, April 1, 2029, July 1, 2029, October 1, 2029, January 1, 2030, and April 1, 2030, respectively.</w:t>
      </w:r>
    </w:p>
    <w:p>
      <w:pPr>
        <w:spacing w:after="0" w:line="85" w:lineRule="exact"/>
        <w:rPr>
          <w:sz w:val="20"/>
          <w:szCs w:val="20"/>
          <w:color w:val="auto"/>
        </w:rPr>
      </w:pPr>
    </w:p>
    <w:p>
      <w:pPr>
        <w:ind w:left="2540" w:right="140"/>
        <w:spacing w:after="0" w:line="254" w:lineRule="auto"/>
        <w:rPr>
          <w:sz w:val="20"/>
          <w:szCs w:val="20"/>
          <w:color w:val="auto"/>
        </w:rPr>
      </w:pPr>
      <w:r>
        <w:rPr>
          <w:rFonts w:ascii="Times New Roman" w:cs="Times New Roman" w:eastAsia="Times New Roman" w:hAnsi="Times New Roman"/>
          <w:sz w:val="18"/>
          <w:szCs w:val="18"/>
          <w:color w:val="auto"/>
        </w:rPr>
        <w:t>The vesting period for part of the RSUs granted to the Grantees is shorter than 12 months in the following circumstances as permitted under the terms of the 2025 Share Incentive Scheme: (i) grants of Awards that are made in batches during a year for administrative and compliance reasons, which include Awards that should have been granted earlier if not for such administrative or compliance reasons but had to wait for a subsequent batch. In such case, the vesting period may be shorter to reflect the time from which the Awards would have been granted;</w:t>
      </w:r>
    </w:p>
    <w:p>
      <w:pPr>
        <w:spacing w:after="0" w:line="3" w:lineRule="exact"/>
        <w:rPr>
          <w:sz w:val="20"/>
          <w:szCs w:val="20"/>
          <w:color w:val="auto"/>
        </w:rPr>
      </w:pPr>
    </w:p>
    <w:p>
      <w:pPr>
        <w:ind w:left="2540" w:right="80" w:hanging="6"/>
        <w:spacing w:after="0" w:line="260" w:lineRule="auto"/>
        <w:tabs>
          <w:tab w:leader="none" w:pos="28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Awards with a mixed or accelerated vesting schedule such as where the Awards may vest evenly over a period of 12 months; or (iii) grants of Awards with a total vesting and holding period of more than 12 months.</w:t>
      </w:r>
    </w:p>
    <w:p>
      <w:pPr>
        <w:sectPr>
          <w:pgSz w:w="11900" w:h="16838" w:orient="portrait"/>
          <w:cols w:equalWidth="0" w:num="1">
            <w:col w:w="10980"/>
          </w:cols>
          <w:pgMar w:left="440" w:top="266" w:right="479" w:bottom="1440"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targets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vesting of the RSUs under the RSU Grants is not subject to any performance targets.</w:t>
      </w:r>
    </w:p>
    <w:p>
      <w:pPr>
        <w:spacing w:after="0" w:line="125" w:lineRule="exact"/>
        <w:rPr>
          <w:sz w:val="20"/>
          <w:szCs w:val="20"/>
          <w:color w:val="auto"/>
        </w:rPr>
      </w:pPr>
    </w:p>
    <w:p>
      <w:pPr>
        <w:sectPr>
          <w:pgSz w:w="11900" w:h="16838" w:orient="portrait"/>
          <w:cols w:equalWidth="0" w:num="2">
            <w:col w:w="1820" w:space="720"/>
            <w:col w:w="84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Clawback mechanisms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Pursuant to the terms of the 2025 Share Incentive Scheme, the Board or its delegate(s) shall have the right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forfeit any unvested RSU granted to a Grantee and (ii) cause any vested but not yet exercised and/or settled RSU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lapse immediately, in the event of: (a) any Cause of a Grantee; (b) any violation of a Grantee to obligations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or non-competition to the Group, or any leakage by such Grantee of the Group’s trade secrets,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or proprietary information within a specified period after such Grantee ceasing to be an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(c) any conduct of a Grantee that has materially adverse effect to the reputation or interests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 of the Group within a specified period after such Grantee ceasing to be an Eligible Participant; (d) in respect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RSU which is performance linked, any material misstatement in the audited financial statements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that requires a restatement, or any circumstances that show or lead to any of the prescribed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targets having been assessed or calculated in a materially inaccurate manner.</w:t>
      </w:r>
    </w:p>
    <w:p>
      <w:pPr>
        <w:spacing w:after="0" w:line="139" w:lineRule="exact"/>
        <w:rPr>
          <w:sz w:val="20"/>
          <w:szCs w:val="20"/>
          <w:color w:val="auto"/>
        </w:rPr>
      </w:pPr>
    </w:p>
    <w:p>
      <w:pPr>
        <w:sectPr>
          <w:pgSz w:w="11900" w:h="16838" w:orient="portrait"/>
          <w:cols w:equalWidth="0" w:num="2">
            <w:col w:w="1820" w:space="720"/>
            <w:col w:w="8440"/>
          </w:cols>
          <w:pgMar w:left="440" w:top="266"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980"/>
          </w:cols>
          <w:pgMar w:left="440" w:top="266" w:right="4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Company shall have the right to (i) require such Grantee to surrender some or all of the Class A ordinary 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(including in the form of ADSs) underlying the RSUs which have been issued to the Grantee or the Grantee’s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transferee for no consideration or (ii) require such Grantee to pay the Company any and all payment in cash or other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in lieu of the Class A ordinary shares (including in the form of ADSs) underlying the RSUs which the</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Grantee has received from the Company.</w:t>
            </w:r>
          </w:p>
        </w:tc>
        <w:tc>
          <w:tcPr>
            <w:tcW w:w="0" w:type="dxa"/>
            <w:vAlign w:val="bottom"/>
          </w:tcPr>
          <w:p>
            <w:pPr>
              <w:spacing w:after="0"/>
              <w:rPr>
                <w:sz w:val="1"/>
                <w:szCs w:val="1"/>
                <w:color w:val="auto"/>
              </w:rPr>
            </w:pPr>
          </w:p>
        </w:tc>
      </w:tr>
      <w:tr>
        <w:trPr>
          <w:trHeight w:val="302"/>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Duration of the 2025 Share</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Subject to any early termination as may be determined by the Board or its delegate(s) pursuant to the 2025 Share</w:t>
            </w:r>
          </w:p>
        </w:tc>
        <w:tc>
          <w:tcPr>
            <w:tcW w:w="0" w:type="dxa"/>
            <w:vAlign w:val="bottom"/>
          </w:tcPr>
          <w:p>
            <w:pPr>
              <w:spacing w:after="0"/>
              <w:rPr>
                <w:sz w:val="1"/>
                <w:szCs w:val="1"/>
                <w:color w:val="auto"/>
              </w:rPr>
            </w:pPr>
          </w:p>
        </w:tc>
      </w:tr>
      <w:tr>
        <w:trPr>
          <w:trHeight w:val="220"/>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Incentive Scheme</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 Scheme, the 2025 Share Incentive Scheme shall be valid and effective for a period of 10 (ten) years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commencing the Adoption Date, after which no further Awards will be granted, but the provisions of the 2025 Share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Incentive Scheme shall in all other respects remain in full force and effect and the Awards granted during the term of</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assistance</w:t>
            </w: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2025 Share Incentive Scheme may continue to be valid and exercisable in accordance with their terms of grant.</w:t>
            </w: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the best knowledge of the Directors, no financial assistance has been provided by the Group to the Grantees for</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purchase of Shares under the 2025 Share Incentive Scheme.</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new Class A ordinary shares to be issued and allotted by the Company to the Grantees under the RSU Grants represent approximately 0.12% of the total issued Shares of the Company as at the date of this announcement and approximately 0.12% of the total issued Shares of the Company as enlarged by such issue and allotment.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 available for future grant under the 2025 Share Incentive Scheme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at the date of this announcement and following the RSU Grants, the number of Class A ordinary shares available for future grant under the scheme mandate limit and the service provider sublimit of the 2025 Share Incentive Scheme is 153,106,913 and 9,531,047,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announcement, the following expressions shall have the following meanings unless the context requires otherwise:</w:t>
      </w:r>
    </w:p>
    <w:p>
      <w:pPr>
        <w:spacing w:after="0" w:line="248" w:lineRule="exact"/>
        <w:rPr>
          <w:sz w:val="20"/>
          <w:szCs w:val="20"/>
          <w:color w:val="auto"/>
        </w:rPr>
      </w:pPr>
    </w:p>
    <w:p>
      <w:pPr>
        <w:ind w:left="2540" w:right="760" w:hanging="253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“2025 Share Incentive Scheme” </w:t>
      </w:r>
      <w:r>
        <w:rPr>
          <w:rFonts w:ascii="Times New Roman" w:cs="Times New Roman" w:eastAsia="Times New Roman" w:hAnsi="Times New Roman"/>
          <w:sz w:val="18"/>
          <w:szCs w:val="18"/>
          <w:color w:val="auto"/>
        </w:rPr>
        <w:t>the share incentive scheme of the Company adopted by the Board on March 18, 2025 and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on June 27, 2025</w:t>
      </w:r>
    </w:p>
    <w:p>
      <w:pPr>
        <w:sectPr>
          <w:pgSz w:w="11900" w:h="16838" w:orient="portrait"/>
          <w:cols w:equalWidth="0" w:num="1">
            <w:col w:w="10940"/>
          </w:cols>
          <w:pgMar w:left="440" w:top="378" w:right="519" w:bottom="144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“Adoption Date”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27, 2025</w:t>
      </w:r>
    </w:p>
    <w:p>
      <w:pPr>
        <w:spacing w:after="0" w:line="125" w:lineRule="exact"/>
        <w:rPr>
          <w:sz w:val="20"/>
          <w:szCs w:val="20"/>
          <w:color w:val="auto"/>
        </w:rPr>
      </w:pPr>
    </w:p>
    <w:p>
      <w:pPr>
        <w:sectPr>
          <w:pgSz w:w="11900" w:h="16838" w:orient="portrait"/>
          <w:cols w:equalWidth="0" w:num="2">
            <w:col w:w="1820" w:space="720"/>
            <w:col w:w="8400"/>
          </w:cols>
          <w:pgMar w:left="440" w:top="378"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American depositary shares, each of which represents two Class A ordinary shares</w:t>
      </w:r>
    </w:p>
    <w:p>
      <w:pPr>
        <w:spacing w:after="0" w:line="169" w:lineRule="exact"/>
        <w:rPr>
          <w:sz w:val="20"/>
          <w:szCs w:val="20"/>
          <w:color w:val="auto"/>
        </w:rPr>
      </w:pPr>
    </w:p>
    <w:p>
      <w:pPr>
        <w:sectPr>
          <w:pgSz w:w="11900" w:h="16838" w:orient="portrait"/>
          <w:cols w:equalWidth="0" w:num="2">
            <w:col w:w="1820" w:space="720"/>
            <w:col w:w="8400"/>
          </w:cols>
          <w:pgMar w:left="440" w:top="378" w:right="51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40"/>
          </w:cols>
          <w:pgMar w:left="440" w:top="378" w:right="5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“Award(s)”</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award(s) of any Options or RSUs as determined by the Board or its delegate(s) and granted to an Eligible Participant pursuant to the 2025 Share Incentive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-391160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1820" w:space="720"/>
            <w:col w:w="8440"/>
          </w:cols>
          <w:pgMar w:left="440" w:top="266" w:right="47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“Board”</w:t>
      </w:r>
    </w:p>
    <w:p>
      <w:pPr>
        <w:spacing w:after="0" w:line="20" w:lineRule="exact"/>
        <w:rPr>
          <w:sz w:val="20"/>
          <w:szCs w:val="20"/>
          <w:color w:val="auto"/>
        </w:rPr>
      </w:pPr>
      <w:r>
        <w:rPr>
          <w:sz w:val="20"/>
          <w:szCs w:val="20"/>
          <w:color w:val="auto"/>
        </w:rPr>
        <w:br w:type="column"/>
      </w:r>
    </w:p>
    <w:p>
      <w:pPr>
        <w:ind w:right="74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or a duly authorized administration committee thereof or such other committee as the Board may authorize</w:t>
      </w:r>
    </w:p>
    <w:p>
      <w:pPr>
        <w:spacing w:after="0" w:line="50" w:lineRule="exact"/>
        <w:rPr>
          <w:sz w:val="20"/>
          <w:szCs w:val="20"/>
          <w:color w:val="auto"/>
        </w:rPr>
      </w:pPr>
    </w:p>
    <w:p>
      <w:pPr>
        <w:sectPr>
          <w:pgSz w:w="11900" w:h="16838" w:orient="portrait"/>
          <w:cols w:equalWidth="0" w:num="2">
            <w:col w:w="1820" w:space="720"/>
            <w:col w:w="84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“Board or its delegate(s)”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Board, or a committee of the Board, and/or person(s) to which the Board has delegated its authority</w:t>
      </w:r>
    </w:p>
    <w:p>
      <w:pPr>
        <w:spacing w:after="0" w:line="125" w:lineRule="exact"/>
        <w:rPr>
          <w:sz w:val="20"/>
          <w:szCs w:val="20"/>
          <w:color w:val="auto"/>
        </w:rPr>
      </w:pPr>
    </w:p>
    <w:p>
      <w:pPr>
        <w:sectPr>
          <w:pgSz w:w="11900" w:h="16838" w:orient="portrait"/>
          <w:cols w:equalWidth="0" w:num="2">
            <w:col w:w="1960" w:space="580"/>
            <w:col w:w="84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“Cause”</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with respect to a Grantee, the termination of employment or office on any one or more of the following grounds: the Grantee has been guilty of misconduct, materially breached any restrictive covenant in favour of the Company or materially violated any Company code of conduct, pled no contest or has been convicted of any felony or other criminal offence involving his integrity or honesty or (if so determined by the Board or its delegate(s) in its absolute discretion) on any other ground on which the relevant company in the Group would be entitled to terminate his employment or office summarily at common law or pursuant to any applicable laws or under the Grantee’s service contract with the relevant company in the Group. Notwithstanding the foregoing, a resolution and/ or decision of the Board or its delegate(s), or the board of directors of the relevant Subsidiary or the Consolidated Affiliated Entity to the effect that the employment or office of a Grantee has or has not been terminated on one or more of the grounds specified herein shall be conclusive</w:t>
      </w:r>
    </w:p>
    <w:p>
      <w:pPr>
        <w:spacing w:after="0" w:line="82" w:lineRule="exact"/>
        <w:rPr>
          <w:sz w:val="20"/>
          <w:szCs w:val="20"/>
          <w:color w:val="auto"/>
        </w:rPr>
      </w:pPr>
    </w:p>
    <w:p>
      <w:pPr>
        <w:sectPr>
          <w:pgSz w:w="11900" w:h="16838" w:orient="portrait"/>
          <w:cols w:equalWidth="0" w:num="2">
            <w:col w:w="1820" w:space="720"/>
            <w:col w:w="84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w:t>
      </w:r>
    </w:p>
    <w:p>
      <w:pPr>
        <w:spacing w:after="0" w:line="20" w:lineRule="exact"/>
        <w:rPr>
          <w:sz w:val="20"/>
          <w:szCs w:val="20"/>
          <w:color w:val="auto"/>
        </w:rPr>
      </w:pPr>
      <w:r>
        <w:rPr>
          <w:sz w:val="20"/>
          <w:szCs w:val="20"/>
          <w:color w:val="auto"/>
        </w:rPr>
        <w:br w:type="column"/>
      </w:r>
    </w:p>
    <w:p>
      <w:pPr>
        <w:ind w:right="340"/>
        <w:spacing w:after="0" w:line="266" w:lineRule="auto"/>
        <w:rPr>
          <w:sz w:val="20"/>
          <w:szCs w:val="20"/>
          <w:color w:val="auto"/>
        </w:rPr>
      </w:pPr>
      <w:r>
        <w:rPr>
          <w:rFonts w:ascii="Times New Roman" w:cs="Times New Roman" w:eastAsia="Times New Roman" w:hAnsi="Times New Roman"/>
          <w:sz w:val="18"/>
          <w:szCs w:val="18"/>
          <w:color w:val="auto"/>
        </w:rPr>
        <w:t>Class A ordinary shares of the share capital of the Company with a par value of US$0.00001 each, conferring a holder of a Class A ordinary share one vote per share on all matters subject to the vote at general meetings of the Company</w:t>
      </w:r>
    </w:p>
    <w:p>
      <w:pPr>
        <w:spacing w:after="0" w:line="64" w:lineRule="exact"/>
        <w:rPr>
          <w:sz w:val="20"/>
          <w:szCs w:val="20"/>
          <w:color w:val="auto"/>
        </w:rPr>
      </w:pPr>
    </w:p>
    <w:p>
      <w:pPr>
        <w:sectPr>
          <w:pgSz w:w="11900" w:h="16838" w:orient="portrait"/>
          <w:cols w:equalWidth="0" w:num="2">
            <w:col w:w="2000" w:space="540"/>
            <w:col w:w="84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“Class B ordinary shares”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Class B ordinary shares of the share capital of the Company with a par value of US$0.00001 each, conferring weighted voting rights in the Company such that a holder of a Class B ordinary share is entitled to ten votes per share on all matters subject to the vote at general meetings of the Company, subject to the requirements under Rule 8A.24 of the Listing Rules that the reserved matters shall be voted on a one vote per share basis</w:t>
      </w:r>
    </w:p>
    <w:p>
      <w:pPr>
        <w:spacing w:after="0" w:line="68" w:lineRule="exact"/>
        <w:rPr>
          <w:sz w:val="20"/>
          <w:szCs w:val="20"/>
          <w:color w:val="auto"/>
        </w:rPr>
      </w:pPr>
    </w:p>
    <w:p>
      <w:pPr>
        <w:sectPr>
          <w:pgSz w:w="11900" w:h="16838" w:orient="portrait"/>
          <w:cols w:equalWidth="0" w:num="2">
            <w:col w:w="2000" w:space="540"/>
            <w:col w:w="844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“Committee”</w:t>
      </w:r>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(or a subcommittee thereof), or such other committee of the Board to which the Board has delegated power to act pursuant to the provisions of the 2025 Share Incentive Scheme</w:t>
      </w:r>
    </w:p>
    <w:p>
      <w:pPr>
        <w:spacing w:after="0" w:line="50" w:lineRule="exact"/>
        <w:rPr>
          <w:sz w:val="20"/>
          <w:szCs w:val="20"/>
          <w:color w:val="auto"/>
        </w:rPr>
      </w:pPr>
    </w:p>
    <w:p>
      <w:pPr>
        <w:sectPr>
          <w:pgSz w:w="11900" w:h="16838" w:orient="portrait"/>
          <w:cols w:equalWidth="0" w:num="2">
            <w:col w:w="1820" w:space="720"/>
            <w:col w:w="8440"/>
          </w:cols>
          <w:pgMar w:left="440" w:top="266" w:right="479" w:bottom="1440" w:gutter="0" w:footer="0" w:header="0"/>
          <w:type w:val="continuous"/>
        </w:sectPr>
      </w:pPr>
    </w:p>
    <w:p>
      <w:pPr>
        <w:ind w:left="2540" w:right="440" w:hanging="253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“Company” or “the Company” </w:t>
      </w:r>
      <w:r>
        <w:rPr>
          <w:rFonts w:ascii="Times New Roman" w:cs="Times New Roman" w:eastAsia="Times New Roman" w:hAnsi="Times New Roman"/>
          <w:sz w:val="18"/>
          <w:szCs w:val="18"/>
          <w:color w:val="auto"/>
        </w:rPr>
        <w:t>XPeng Inc., a company controlled through weighted voting rights and incorporated in the Cayman Islands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the Class A ordinary shares of which are listed on the Main Board of the Hong Kong Stock Exchange and the ADSs of which are listed on the New York Stock Exchange</w:t>
      </w:r>
    </w:p>
    <w:p>
      <w:pPr>
        <w:sectPr>
          <w:pgSz w:w="11900" w:h="16838" w:orient="portrait"/>
          <w:cols w:equalWidth="0" w:num="1">
            <w:col w:w="10980"/>
          </w:cols>
          <w:pgMar w:left="440" w:top="266" w:right="479" w:bottom="1440" w:gutter="0" w:footer="0" w:header="0"/>
          <w:type w:val="continuous"/>
        </w:sectPr>
      </w:pPr>
    </w:p>
    <w:p>
      <w:pPr>
        <w:spacing w:after="0" w:line="6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Affiliated Entities”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the entities the financials of which are consolidated into the Company by virtue of contractual arrangements</w:t>
      </w:r>
    </w:p>
    <w:p>
      <w:pPr>
        <w:spacing w:after="0" w:line="384" w:lineRule="exact"/>
        <w:rPr>
          <w:sz w:val="20"/>
          <w:szCs w:val="20"/>
          <w:color w:val="auto"/>
        </w:rPr>
      </w:pPr>
    </w:p>
    <w:p>
      <w:pPr>
        <w:sectPr>
          <w:pgSz w:w="11900" w:h="16838" w:orient="portrait"/>
          <w:cols w:equalWidth="0" w:num="2">
            <w:col w:w="1880" w:space="660"/>
            <w:col w:w="8440"/>
          </w:cols>
          <w:pgMar w:left="440" w:top="266"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80"/>
          </w:cols>
          <w:pgMar w:left="440" w:top="266" w:right="4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-274955</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1820" w:space="720"/>
            <w:col w:w="8420"/>
          </w:cols>
          <w:pgMar w:left="440" w:top="374" w:right="49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any person who has an employment relationship with any member of the Group</w:t>
      </w:r>
    </w:p>
    <w:p>
      <w:pPr>
        <w:spacing w:after="0" w:line="125"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“Eligible 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Employee Participant(s), Service Provider(s) and Related Entity Participant(s)</w:t>
      </w:r>
    </w:p>
    <w:p>
      <w:pPr>
        <w:spacing w:after="0" w:line="124" w:lineRule="exact"/>
        <w:rPr>
          <w:sz w:val="20"/>
          <w:szCs w:val="20"/>
          <w:color w:val="auto"/>
        </w:rPr>
      </w:pPr>
    </w:p>
    <w:p>
      <w:pPr>
        <w:sectPr>
          <w:pgSz w:w="11900" w:h="16838" w:orient="portrait"/>
          <w:cols w:equalWidth="0" w:num="2">
            <w:col w:w="1880" w:space="66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“Employee Participant(s)”</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Director(s) and employee(s) of any member of the Group, i.e., the Company, its Subsidiaries and Consolidated Affiliated Entities (including persons who are granted Options and/or RSUs under the 2025 Share Incentive Scheme as an inducement to enter into employment contracts with the Group)</w:t>
      </w:r>
    </w:p>
    <w:p>
      <w:pPr>
        <w:spacing w:after="0" w:line="64" w:lineRule="exact"/>
        <w:rPr>
          <w:sz w:val="20"/>
          <w:szCs w:val="20"/>
          <w:color w:val="auto"/>
        </w:rPr>
      </w:pPr>
    </w:p>
    <w:p>
      <w:pPr>
        <w:sectPr>
          <w:pgSz w:w="11900" w:h="16838" w:orient="portrait"/>
          <w:cols w:equalWidth="0" w:num="2">
            <w:col w:w="2040" w:space="50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“Grantee(s)”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69 Employees of the Group who were granted RSUs under the 2025 Share Incentive Scheme on April 17, 2026</w:t>
      </w:r>
    </w:p>
    <w:p>
      <w:pPr>
        <w:spacing w:after="0" w:line="124"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Company, its Subsidiaries and Consolidated Affiliated Entities</w:t>
      </w:r>
    </w:p>
    <w:p>
      <w:pPr>
        <w:spacing w:after="0" w:line="125"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“HK$”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Hong Kong dollars, the lawful currency of Hong Kong</w:t>
      </w:r>
    </w:p>
    <w:p>
      <w:pPr>
        <w:spacing w:after="0" w:line="125"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“Hong Kong”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Hong Kong Special Administrative Region of the People’s Republic of China</w:t>
      </w:r>
    </w:p>
    <w:p>
      <w:pPr>
        <w:spacing w:after="0" w:line="125"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“Hong Kong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Stock Exchange of Hong Kong Limited</w:t>
      </w:r>
    </w:p>
    <w:p>
      <w:pPr>
        <w:spacing w:after="0" w:line="124" w:lineRule="exact"/>
        <w:rPr>
          <w:sz w:val="20"/>
          <w:szCs w:val="20"/>
          <w:color w:val="auto"/>
        </w:rPr>
      </w:pPr>
    </w:p>
    <w:p>
      <w:pPr>
        <w:sectPr>
          <w:pgSz w:w="11900" w:h="16838" w:orient="portrait"/>
          <w:cols w:equalWidth="0" w:num="2">
            <w:col w:w="2340" w:space="200"/>
            <w:col w:w="8420"/>
          </w:cols>
          <w:pgMar w:left="440" w:top="374" w:right="499" w:bottom="1440" w:gutter="0" w:footer="0" w:header="0"/>
          <w:type w:val="continuous"/>
        </w:sectPr>
      </w:pPr>
    </w:p>
    <w:p>
      <w:pPr>
        <w:ind w:right="320"/>
        <w:spacing w:after="0" w:line="317" w:lineRule="auto"/>
        <w:rPr>
          <w:sz w:val="20"/>
          <w:szCs w:val="20"/>
          <w:color w:val="auto"/>
        </w:rPr>
      </w:pPr>
      <w:r>
        <w:rPr>
          <w:rFonts w:ascii="Times New Roman" w:cs="Times New Roman" w:eastAsia="Times New Roman" w:hAnsi="Times New Roman"/>
          <w:sz w:val="17"/>
          <w:szCs w:val="17"/>
          <w:b w:val="1"/>
          <w:bCs w:val="1"/>
          <w:color w:val="auto"/>
        </w:rPr>
        <w:t>“Industry Research Consultants”</w:t>
      </w:r>
    </w:p>
    <w:p>
      <w:pPr>
        <w:spacing w:after="0" w:line="20" w:lineRule="exact"/>
        <w:rPr>
          <w:sz w:val="20"/>
          <w:szCs w:val="20"/>
          <w:color w:val="auto"/>
        </w:rPr>
      </w:pPr>
      <w:r>
        <w:rPr>
          <w:sz w:val="20"/>
          <w:szCs w:val="20"/>
          <w:color w:val="auto"/>
        </w:rPr>
        <w:br w:type="column"/>
      </w:r>
    </w:p>
    <w:p>
      <w:pPr>
        <w:ind w:right="360"/>
        <w:spacing w:after="0" w:line="261" w:lineRule="auto"/>
        <w:rPr>
          <w:sz w:val="20"/>
          <w:szCs w:val="20"/>
          <w:color w:val="auto"/>
        </w:rPr>
      </w:pPr>
      <w:r>
        <w:rPr>
          <w:rFonts w:ascii="Times New Roman" w:cs="Times New Roman" w:eastAsia="Times New Roman" w:hAnsi="Times New Roman"/>
          <w:sz w:val="18"/>
          <w:szCs w:val="18"/>
          <w:color w:val="auto"/>
        </w:rPr>
        <w:t>persons who provide industry research and strategic consulting services to the Group in relation to product, professional technology, research and development, operations, marketing, capital market, experience and other professional areas, and in the opinion of the Directors, the continuity and frequency of those services are akin to those of employees of the Group</w:t>
      </w:r>
    </w:p>
    <w:p>
      <w:pPr>
        <w:spacing w:after="0" w:line="68"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“Listing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w:t>
      </w:r>
    </w:p>
    <w:p>
      <w:pPr>
        <w:spacing w:after="0" w:line="113"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“Option”</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an option to subscribe for Class A ordinary shares (including in the form of ADSs) granted pursuant to the terms of the 2025 Share Incentive Scheme</w:t>
      </w:r>
    </w:p>
    <w:p>
      <w:pPr>
        <w:spacing w:after="0" w:line="50"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“Other Service Providers”</w:t>
      </w:r>
    </w:p>
    <w:p>
      <w:pPr>
        <w:spacing w:after="0" w:line="20" w:lineRule="exact"/>
        <w:rPr>
          <w:sz w:val="20"/>
          <w:szCs w:val="20"/>
          <w:color w:val="auto"/>
        </w:rPr>
      </w:pPr>
      <w:r>
        <w:rPr>
          <w:sz w:val="20"/>
          <w:szCs w:val="20"/>
          <w:color w:val="auto"/>
        </w:rPr>
        <w:br w:type="column"/>
      </w:r>
    </w:p>
    <w:p>
      <w:pPr>
        <w:ind w:right="40"/>
        <w:spacing w:after="0" w:line="281" w:lineRule="auto"/>
        <w:rPr>
          <w:sz w:val="20"/>
          <w:szCs w:val="20"/>
          <w:color w:val="auto"/>
        </w:rPr>
      </w:pPr>
      <w:r>
        <w:rPr>
          <w:rFonts w:ascii="Times New Roman" w:cs="Times New Roman" w:eastAsia="Times New Roman" w:hAnsi="Times New Roman"/>
          <w:sz w:val="17"/>
          <w:szCs w:val="17"/>
          <w:color w:val="auto"/>
        </w:rPr>
        <w:t>independent contractors, consultants and/or advisors who provide services to the Group in relation to research and development, product commercialization, marketing, innovation upgrading, strategic/ commercial planning, investor relations, human resources, business development and corporate governance areas on a continuing and recurring basis in its ordinary and usual course of business which are in the interests of the long term growth of the Group</w:t>
      </w:r>
    </w:p>
    <w:p>
      <w:pPr>
        <w:spacing w:after="0" w:line="52" w:lineRule="exact"/>
        <w:rPr>
          <w:sz w:val="20"/>
          <w:szCs w:val="20"/>
          <w:color w:val="auto"/>
        </w:rPr>
      </w:pPr>
    </w:p>
    <w:p>
      <w:pPr>
        <w:sectPr>
          <w:pgSz w:w="11900" w:h="16838" w:orient="portrait"/>
          <w:cols w:equalWidth="0" w:num="2">
            <w:col w:w="2040" w:space="50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“Related Entity Participant(s)”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director(s) and employee(s) of the holding companies, fellow subsidiaries or associated companies of the Company</w:t>
      </w:r>
    </w:p>
    <w:p>
      <w:pPr>
        <w:spacing w:after="0" w:line="125" w:lineRule="exact"/>
        <w:rPr>
          <w:sz w:val="20"/>
          <w:szCs w:val="20"/>
          <w:color w:val="auto"/>
        </w:rPr>
      </w:pPr>
    </w:p>
    <w:p>
      <w:pPr>
        <w:sectPr>
          <w:pgSz w:w="11900" w:h="16838" w:orient="portrait"/>
          <w:cols w:equalWidth="0" w:num="2">
            <w:col w:w="2400" w:space="140"/>
            <w:col w:w="8420"/>
          </w:cols>
          <w:pgMar w:left="440" w:top="374"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“RSU(s)”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restricted share unit(s) conferring the Grantee a conditional right to obtain either Class A ordinary shares (including in the form of ADSs) or an equivalent value in cash with reference to the market value of the Class A ordinary shares on or about the date of vesting, as determined by the Board or its delegate(s) in its absolute discretion, less any tax, fees, levies, stamp duty and other charges applicable</w:t>
      </w:r>
    </w:p>
    <w:p>
      <w:pPr>
        <w:spacing w:after="0" w:line="112" w:lineRule="exact"/>
        <w:rPr>
          <w:sz w:val="20"/>
          <w:szCs w:val="20"/>
          <w:color w:val="auto"/>
        </w:rPr>
      </w:pPr>
    </w:p>
    <w:p>
      <w:pPr>
        <w:sectPr>
          <w:pgSz w:w="11900" w:h="16838" w:orient="portrait"/>
          <w:cols w:equalWidth="0" w:num="2">
            <w:col w:w="1820" w:space="720"/>
            <w:col w:w="8420"/>
          </w:cols>
          <w:pgMar w:left="440" w:top="374"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60"/>
          </w:cols>
          <w:pgMar w:left="440" w:top="374" w:right="4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“Service Provider”</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person(s) and/or corporate entity(ies) who provide(s) services to the Group on a continuing and recurring basis in its ordinary and usual course of business which are in the interests of the long term growth of the Group, namely the Strategic Consulting Consultants, Industry Research Consultants, and Other Service Providers, but excluding (for the avoidance of doubt) (i) placing agents or financial advisers providing advisory services for fund-raising, mergers or acquisitions, (ii) professional service providers (such as auditors or valuers) who provide assurance, or are required to perform their services with impartiality and objectivity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-923290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1820" w:space="720"/>
            <w:col w:w="8460"/>
          </w:cols>
          <w:pgMar w:left="440" w:top="266" w:right="4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br w:type="column"/>
      </w:r>
    </w:p>
    <w:p>
      <w:pPr>
        <w:ind w:right="560"/>
        <w:spacing w:after="0" w:line="282" w:lineRule="auto"/>
        <w:rPr>
          <w:sz w:val="20"/>
          <w:szCs w:val="20"/>
          <w:color w:val="auto"/>
        </w:rPr>
      </w:pPr>
      <w:r>
        <w:rPr>
          <w:rFonts w:ascii="Times New Roman" w:cs="Times New Roman" w:eastAsia="Times New Roman" w:hAnsi="Times New Roman"/>
          <w:sz w:val="18"/>
          <w:szCs w:val="18"/>
          <w:color w:val="auto"/>
        </w:rPr>
        <w:t>the Class A ordinary shares and Class B ordinary shares in the share capital of the Company, as the context so requires</w:t>
      </w:r>
    </w:p>
    <w:p>
      <w:pPr>
        <w:spacing w:after="0" w:line="50" w:lineRule="exact"/>
        <w:rPr>
          <w:sz w:val="20"/>
          <w:szCs w:val="20"/>
          <w:color w:val="auto"/>
        </w:rPr>
      </w:pPr>
    </w:p>
    <w:p>
      <w:pPr>
        <w:sectPr>
          <w:pgSz w:w="11900" w:h="16838" w:orient="portrait"/>
          <w:cols w:equalWidth="0" w:num="2">
            <w:col w:w="1820" w:space="720"/>
            <w:col w:w="84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holder(s) of Shares and, where the context requires, ADSs</w:t>
      </w:r>
    </w:p>
    <w:p>
      <w:pPr>
        <w:spacing w:after="0" w:line="124" w:lineRule="exact"/>
        <w:rPr>
          <w:sz w:val="20"/>
          <w:szCs w:val="20"/>
          <w:color w:val="auto"/>
        </w:rPr>
      </w:pPr>
    </w:p>
    <w:p>
      <w:pPr>
        <w:sectPr>
          <w:pgSz w:w="11900" w:h="16838" w:orient="portrait"/>
          <w:cols w:equalWidth="0" w:num="2">
            <w:col w:w="1820" w:space="720"/>
            <w:col w:w="8460"/>
          </w:cols>
          <w:pgMar w:left="440" w:top="266" w:right="459" w:bottom="1440" w:gutter="0" w:footer="0" w:header="0"/>
          <w:type w:val="continuous"/>
        </w:sectPr>
      </w:pPr>
    </w:p>
    <w:p>
      <w:pPr>
        <w:ind w:right="160"/>
        <w:spacing w:after="0" w:line="317" w:lineRule="auto"/>
        <w:rPr>
          <w:sz w:val="20"/>
          <w:szCs w:val="20"/>
          <w:color w:val="auto"/>
        </w:rPr>
      </w:pPr>
      <w:r>
        <w:rPr>
          <w:rFonts w:ascii="Times New Roman" w:cs="Times New Roman" w:eastAsia="Times New Roman" w:hAnsi="Times New Roman"/>
          <w:sz w:val="17"/>
          <w:szCs w:val="17"/>
          <w:b w:val="1"/>
          <w:bCs w:val="1"/>
          <w:color w:val="auto"/>
        </w:rPr>
        <w:t>“Strategic Consulting Consultants”</w:t>
      </w:r>
    </w:p>
    <w:p>
      <w:pPr>
        <w:spacing w:after="0" w:line="20" w:lineRule="exact"/>
        <w:rPr>
          <w:sz w:val="20"/>
          <w:szCs w:val="20"/>
          <w:color w:val="auto"/>
        </w:rPr>
      </w:pPr>
      <w:r>
        <w:rPr>
          <w:sz w:val="20"/>
          <w:szCs w:val="20"/>
          <w:color w:val="auto"/>
        </w:rPr>
        <w:br w:type="column"/>
      </w:r>
    </w:p>
    <w:p>
      <w:pPr>
        <w:ind w:right="20"/>
        <w:spacing w:after="0" w:line="266" w:lineRule="auto"/>
        <w:rPr>
          <w:sz w:val="20"/>
          <w:szCs w:val="20"/>
          <w:color w:val="auto"/>
        </w:rPr>
      </w:pPr>
      <w:r>
        <w:rPr>
          <w:rFonts w:ascii="Times New Roman" w:cs="Times New Roman" w:eastAsia="Times New Roman" w:hAnsi="Times New Roman"/>
          <w:sz w:val="18"/>
          <w:szCs w:val="18"/>
          <w:color w:val="auto"/>
        </w:rPr>
        <w:t>persons who provide strategic consulting services to the Group whose services will lead, collaborate with or optimize the businesses operated by the Group from time to time, and in the opinion of the Directors, the continuity and frequency of those services are akin to those of employees of the Group</w:t>
      </w:r>
    </w:p>
    <w:p>
      <w:pPr>
        <w:spacing w:after="0" w:line="64" w:lineRule="exact"/>
        <w:rPr>
          <w:sz w:val="20"/>
          <w:szCs w:val="20"/>
          <w:color w:val="auto"/>
        </w:rPr>
      </w:pPr>
    </w:p>
    <w:p>
      <w:pPr>
        <w:sectPr>
          <w:pgSz w:w="11900" w:h="16838" w:orient="portrait"/>
          <w:cols w:equalWidth="0" w:num="2">
            <w:col w:w="1820" w:space="720"/>
            <w:col w:w="84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0" w:lineRule="exact"/>
        <w:rPr>
          <w:sz w:val="20"/>
          <w:szCs w:val="20"/>
          <w:color w:val="auto"/>
        </w:rPr>
      </w:pPr>
      <w:r>
        <w:rPr>
          <w:sz w:val="20"/>
          <w:szCs w:val="20"/>
          <w:color w:val="auto"/>
        </w:rPr>
        <w:br w:type="column"/>
      </w:r>
    </w:p>
    <w:p>
      <w:pPr>
        <w:ind w:right="320"/>
        <w:spacing w:after="0" w:line="266" w:lineRule="auto"/>
        <w:rPr>
          <w:sz w:val="20"/>
          <w:szCs w:val="20"/>
          <w:color w:val="auto"/>
        </w:rPr>
      </w:pPr>
      <w:r>
        <w:rPr>
          <w:rFonts w:ascii="Times New Roman" w:cs="Times New Roman" w:eastAsia="Times New Roman" w:hAnsi="Times New Roman"/>
          <w:sz w:val="18"/>
          <w:szCs w:val="18"/>
          <w:color w:val="auto"/>
        </w:rPr>
        <w:t>means a company which is for the time being and from time to time a subsidiary (within the meaning of the Companies Ordinance (Chapter 622 of the Laws of Hong Kong)) of the Company, whether incorporated in Hong Kong or elsewhere</w:t>
      </w:r>
    </w:p>
    <w:p>
      <w:pPr>
        <w:spacing w:after="0" w:line="64" w:lineRule="exact"/>
        <w:rPr>
          <w:sz w:val="20"/>
          <w:szCs w:val="20"/>
          <w:color w:val="auto"/>
        </w:rPr>
      </w:pPr>
    </w:p>
    <w:p>
      <w:pPr>
        <w:sectPr>
          <w:pgSz w:w="11900" w:h="16838" w:orient="portrait"/>
          <w:cols w:equalWidth="0" w:num="2">
            <w:col w:w="1820" w:space="720"/>
            <w:col w:w="84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 dollars, the lawful currency of the United States of America</w:t>
      </w:r>
    </w:p>
    <w:p>
      <w:pPr>
        <w:spacing w:after="0" w:line="125" w:lineRule="exact"/>
        <w:rPr>
          <w:sz w:val="20"/>
          <w:szCs w:val="20"/>
          <w:color w:val="auto"/>
        </w:rPr>
      </w:pPr>
    </w:p>
    <w:p>
      <w:pPr>
        <w:sectPr>
          <w:pgSz w:w="11900" w:h="16838" w:orient="portrait"/>
          <w:cols w:equalWidth="0" w:num="2">
            <w:col w:w="1820" w:space="720"/>
            <w:col w:w="84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“vest”</w:t>
      </w:r>
    </w:p>
    <w:p>
      <w:pPr>
        <w:spacing w:after="0" w:line="20" w:lineRule="exact"/>
        <w:rPr>
          <w:sz w:val="20"/>
          <w:szCs w:val="20"/>
          <w:color w:val="auto"/>
        </w:rPr>
      </w:pPr>
      <w:r>
        <w:rPr>
          <w:sz w:val="20"/>
          <w:szCs w:val="20"/>
          <w:color w:val="auto"/>
        </w:rPr>
        <w:br w:type="column"/>
      </w:r>
    </w:p>
    <w:p>
      <w:pPr>
        <w:ind w:right="100"/>
        <w:spacing w:after="0" w:line="261" w:lineRule="auto"/>
        <w:rPr>
          <w:sz w:val="20"/>
          <w:szCs w:val="20"/>
          <w:color w:val="auto"/>
        </w:rPr>
      </w:pPr>
      <w:r>
        <w:rPr>
          <w:rFonts w:ascii="Times New Roman" w:cs="Times New Roman" w:eastAsia="Times New Roman" w:hAnsi="Times New Roman"/>
          <w:sz w:val="18"/>
          <w:szCs w:val="18"/>
          <w:color w:val="auto"/>
        </w:rPr>
        <w:t>(a) in respect of Class A ordinary shares underlying an Option, the Grantee becoming entitled to exercise the Option to subscribe for or acquire such Class A ordinary shares (including in the form of ADSs), and (b) in respect of Class A ordinary shares underlying an RSU, the Grantee becoming entitled to receive such Class A ordinary shares (including in the form of ADSs) or an equivalent value in cash pursuant to the 2025 Share Incentive Scheme</w:t>
      </w:r>
    </w:p>
    <w:p>
      <w:pPr>
        <w:spacing w:after="0" w:line="68" w:lineRule="exact"/>
        <w:rPr>
          <w:sz w:val="20"/>
          <w:szCs w:val="20"/>
          <w:color w:val="auto"/>
        </w:rPr>
      </w:pPr>
    </w:p>
    <w:p>
      <w:pPr>
        <w:sectPr>
          <w:pgSz w:w="11900" w:h="16838" w:orient="portrait"/>
          <w:cols w:equalWidth="0" w:num="2">
            <w:col w:w="1820" w:space="720"/>
            <w:col w:w="846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per cent</w:t>
      </w:r>
    </w:p>
    <w:p>
      <w:pPr>
        <w:spacing w:after="0" w:line="207" w:lineRule="exact"/>
        <w:rPr>
          <w:sz w:val="20"/>
          <w:szCs w:val="20"/>
          <w:color w:val="auto"/>
        </w:rPr>
      </w:pPr>
    </w:p>
    <w:p>
      <w:pPr>
        <w:sectPr>
          <w:pgSz w:w="11900" w:h="16838" w:orient="portrait"/>
          <w:cols w:equalWidth="0" w:num="2">
            <w:col w:w="1820" w:space="720"/>
            <w:col w:w="8460"/>
          </w:cols>
          <w:pgMar w:left="440" w:top="266" w:right="459" w:bottom="1440" w:gutter="0" w:footer="0" w:header="0"/>
          <w:type w:val="continuous"/>
        </w:sectPr>
      </w:pPr>
    </w:p>
    <w:p>
      <w:pPr>
        <w:spacing w:after="0" w:line="56"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3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Friday, April 17,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type w:val="continuous"/>
        </w:sectPr>
      </w:pPr>
    </w:p>
    <w:bookmarkStart w:id="9" w:name="page10"/>
    <w:bookmarkEnd w:id="9"/>
    <w:p>
      <w:pPr>
        <w:ind w:left="4"/>
        <w:spacing w:after="0" w:line="315"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at the date of this announcement, the board of directors of the Company comprises Mr. Xiaopeng He as an executive Director, Mr. Ji-Xun Foo as a non-executive Director, and Mr. Donghao Yang, Ms. Fang Qu, Mr. Hongjiang Zhang and Mr. Yudong Chen as independent non-executive Directors.</w:t>
      </w:r>
    </w:p>
    <w:p>
      <w:pPr>
        <w:spacing w:after="0" w:line="16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identification purpose only</w:t>
      </w:r>
    </w:p>
    <w:p>
      <w:pPr>
        <w:spacing w:after="0" w:line="160"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0764"/>
      </w:cols>
      <w:pgMar w:left="436" w:top="268"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2026-04-17T10:32:25Z</dcterms:created>
  <dcterms:modified xsi:type="dcterms:W3CDTF">2026-04-17T10:32:25Z</dcterms:modified>
</cp:coreProperties>
</file>