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94"/>
        <w:gridCol w:w="3546"/>
        <w:gridCol w:w="3065"/>
      </w:tblGrid>
      <w:tr>
        <w:trPr/>
        <w:tc>
          <w:tcPr>
            <w:tcW w:w="359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74"/>
            </w:tblGrid>
            <w:tr>
              <w:trPr/>
              <w:tc>
                <w:tcPr>
                  <w:tcW w:w="3474" w:type="dxa"/>
                  <w:tcBorders/>
                  <w:vAlign w:val="center"/>
                </w:tcPr>
                <w:p>
                  <w:pPr>
                    <w:pStyle w:val="TableContents"/>
                    <w:bidi w:val="0"/>
                    <w:spacing w:before="0" w:after="283"/>
                    <w:jc w:val="left"/>
                    <w:rPr/>
                  </w:pPr>
                  <w:hyperlink r:id="rId4">
                    <w:r>
                      <w:rPr>
                        <w:rStyle w:val="InternetLink"/>
                      </w:rPr>
                      <w:t>Gu Brian Hongdi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8"/>
              <w:gridCol w:w="1158"/>
              <w:gridCol w:w="1158"/>
            </w:tblGrid>
            <w:tr>
              <w:trPr/>
              <w:tc>
                <w:tcPr>
                  <w:tcW w:w="11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74"/>
            </w:tblGrid>
            <w:tr>
              <w:trPr/>
              <w:tc>
                <w:tcPr>
                  <w:tcW w:w="347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10, CENCUN FENGZHUANG AVENUE,</w:t>
                  </w:r>
                </w:p>
              </w:tc>
            </w:tr>
            <w:tr>
              <w:trPr/>
              <w:tc>
                <w:tcPr>
                  <w:tcW w:w="347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TIANHE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8"/>
              <w:gridCol w:w="1158"/>
              <w:gridCol w:w="1158"/>
            </w:tblGrid>
            <w:tr>
              <w:trPr/>
              <w:tc>
                <w:tcPr>
                  <w:tcW w:w="115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GUANGZHOU</w:t>
                  </w:r>
                </w:p>
              </w:tc>
              <w:tc>
                <w:tcPr>
                  <w:tcW w:w="115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CHINA</w:t>
                  </w:r>
                </w:p>
              </w:tc>
              <w:tc>
                <w:tcPr>
                  <w:tcW w:w="115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510640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8"/>
              <w:gridCol w:w="1158"/>
              <w:gridCol w:w="1158"/>
            </w:tblGrid>
            <w:tr>
              <w:trPr/>
              <w:tc>
                <w:tcPr>
                  <w:tcW w:w="11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74"/>
            </w:tblGrid>
            <w:tr>
              <w:trPr/>
              <w:tc>
                <w:tcPr>
                  <w:tcW w:w="347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46"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XPENG INC.</w:t>
              </w:r>
            </w:hyperlink>
            <w:r>
              <w:rPr/>
              <w:t xml:space="preserve"> [ </w:t>
            </w:r>
            <w:r>
              <w:rPr>
                <w:rFonts w:ascii="Times;serif" w:hAnsi="Times;serif"/>
                <w:color w:val="0000FF"/>
                <w:sz w:val="24"/>
                <w:shd w:fill="FFFFFF" w:val="clear"/>
              </w:rPr>
              <w:t>XPEV</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9868.HK</w:t>
            </w:r>
            <w:r>
              <w:rPr/>
              <w:t xml:space="preserve"> ] </w:t>
            </w:r>
          </w:p>
        </w:tc>
        <w:tc>
          <w:tcPr>
            <w:tcW w:w="306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2"/>
            </w:tblGrid>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5"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Chairman &amp; Co-President</w:t>
                  </w:r>
                </w:p>
              </w:tc>
            </w:tr>
          </w:tbl>
          <w:p>
            <w:pPr>
              <w:pStyle w:val="TableContents"/>
              <w:bidi w:val="0"/>
              <w:spacing w:before="0" w:after="283"/>
              <w:jc w:val="left"/>
              <w:rPr>
                <w:sz w:val="4"/>
                <w:szCs w:val="4"/>
              </w:rPr>
            </w:pPr>
            <w:r>
              <w:rPr>
                <w:sz w:val="4"/>
                <w:szCs w:val="4"/>
              </w:rPr>
            </w:r>
          </w:p>
        </w:tc>
      </w:tr>
      <w:tr>
        <w:trPr/>
        <w:tc>
          <w:tcPr>
            <w:tcW w:w="35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46"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9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46"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5"/>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2"/>
        <w:gridCol w:w="901"/>
        <w:gridCol w:w="772"/>
        <w:gridCol w:w="598"/>
        <w:gridCol w:w="344"/>
        <w:gridCol w:w="1007"/>
        <w:gridCol w:w="444"/>
        <w:gridCol w:w="607"/>
        <w:gridCol w:w="1352"/>
        <w:gridCol w:w="984"/>
        <w:gridCol w:w="9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32,155,185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Quack Holding Limited</w:t>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31"/>
        <w:gridCol w:w="92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Issuer's Class A ordinary shares were issued to the reporting person upon vesting of Restricted Share Units (RSUs) on October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an aggregate of 1,000,000 RSUs under the 2025 Share Incentive Scheme on October 1, 2025. Upon vesting of the applicable RSUs, the grantee shall be entitled to receive the same amount of Class A ordinary shares of the Company with nil purchase price. The RSUs subject to the award shall vest in four equal annual installments on each anniversary of the vesting commencement date, October 1, 2025, subject to the reporting person's continued service and the achievement of individual performance targets. Therefore, 250,000 RSUs subject to this award vested on October 1, 2026, and the remaining 750,000 RSUs subject to this award are scheduled to vest on October 1, 2027, October 1, 2028 and October 1, 2029,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Gu Brian Hongdi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6174" TargetMode="External"/><Relationship Id="rId5" Type="http://schemas.openxmlformats.org/officeDocument/2006/relationships/hyperlink" Target="http://www.sec.gov/cgi-bin/browse-edgar?action=getcompany&amp;CIK=00018109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4007</Characters>
  <CharactersWithSpaces>4670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