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51912d6k.htm"/>
        <w:bookmarkStart w:id="1" w:name="ksd251912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001-39466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8"/>
        <w:gridCol w:w="316"/>
        <w:gridCol w:w="8681"/>
      </w:tblGrid>
      <w:tr>
        <w:trPr/>
        <w:tc>
          <w:tcPr>
            <w:tcW w:w="1208"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Exhibit 99.1</w:t>
            </w:r>
          </w:p>
        </w:tc>
        <w:tc>
          <w:tcPr>
            <w:tcW w:w="316" w:type="dxa"/>
            <w:tcBorders/>
            <w:vAlign w:val="bottom"/>
          </w:tcPr>
          <w:p>
            <w:pPr>
              <w:pStyle w:val="TableContents"/>
              <w:bidi w:val="0"/>
              <w:spacing w:before="0" w:after="283"/>
              <w:jc w:val="left"/>
              <w:rPr/>
            </w:pPr>
            <w:r>
              <w:rPr/>
              <w:t>  </w:t>
            </w:r>
          </w:p>
        </w:tc>
        <w:tc>
          <w:tcPr>
            <w:tcW w:w="8681" w:type="dxa"/>
            <w:tcBorders/>
          </w:tcPr>
          <w:p>
            <w:pPr>
              <w:pStyle w:val="TableContents"/>
              <w:bidi w:val="0"/>
              <w:spacing w:before="0" w:after="283"/>
              <w:jc w:val="left"/>
              <w:rPr/>
            </w:pPr>
            <w:hyperlink w:anchor="d251912dex991.htm">
              <w:r>
                <w:rPr>
                  <w:rStyle w:val="InternetLink"/>
                </w:rPr>
                <w:t xml:space="preserve">Announcement: Notice of Board Meeting </w:t>
              </w:r>
            </w:hyperlink>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8"/>
        <w:gridCol w:w="61"/>
        <w:gridCol w:w="3283"/>
      </w:tblGrid>
      <w:tr>
        <w:trPr/>
        <w:tc>
          <w:tcPr>
            <w:tcW w:w="73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XPENG INC.</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83" w:type="dxa"/>
            <w:tcBorders>
              <w:bottom w:val="single" w:sz="2" w:space="0" w:color="000000"/>
            </w:tcBorders>
            <w:tcMar>
              <w:bottom w:w="28" w:type="dxa"/>
            </w:tcMar>
          </w:tcPr>
          <w:p>
            <w:pPr>
              <w:pStyle w:val="TableContents"/>
              <w:bidi w:val="0"/>
              <w:spacing w:before="0" w:after="283"/>
              <w:jc w:val="left"/>
              <w:rPr/>
            </w:pPr>
            <w:r>
              <w:rPr/>
              <w:t>/s/ Xiaopeng He</w:t>
            </w:r>
          </w:p>
        </w:tc>
      </w:tr>
      <w:tr>
        <w:trPr/>
        <w:tc>
          <w:tcPr>
            <w:tcW w:w="738"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83" w:type="dxa"/>
            <w:tcBorders/>
            <w:vAlign w:val="bottom"/>
          </w:tcPr>
          <w:p>
            <w:pPr>
              <w:pStyle w:val="TableContents"/>
              <w:bidi w:val="0"/>
              <w:spacing w:before="0" w:after="283"/>
              <w:jc w:val="left"/>
              <w:rPr/>
            </w:pPr>
            <w:r>
              <w:rPr/>
              <w:t>Xiaopeng He</w:t>
            </w:r>
          </w:p>
        </w:tc>
      </w:tr>
      <w:tr>
        <w:trPr/>
        <w:tc>
          <w:tcPr>
            <w:tcW w:w="738"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83" w:type="dxa"/>
            <w:tcBorders/>
            <w:vAlign w:val="bottom"/>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4, 2026 </w:t>
      </w:r>
    </w:p>
    <w:p>
      <w:pPr>
        <w:pStyle w:val="TextBody"/>
        <w:bidi w:val="0"/>
        <w:spacing w:before="0" w:after="0"/>
        <w:jc w:val="right"/>
        <w:rPr>
          <w:rFonts w:ascii="Times New Roman" w:hAnsi="Times New Roman"/>
          <w:b/>
          <w:sz w:val="20"/>
        </w:rPr>
      </w:pPr>
      <w:bookmarkStart w:id="3" w:name="d251912dex991.htm"/>
      <w:bookmarkStart w:id="4" w:name="ksd251912dex991"/>
      <w:bookmarkEnd w:id="3"/>
      <w:bookmarkEnd w:id="4"/>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 </w:t>
      </w:r>
    </w:p>
    <w:p>
      <w:pPr>
        <w:pStyle w:val="TextBody"/>
        <w:bidi w:val="0"/>
        <w:spacing w:before="0" w:after="0"/>
        <w:jc w:val="left"/>
        <w:rPr/>
      </w:pPr>
      <w:r>
        <w:rPr/>
        <w:t> </w:t>
      </w:r>
    </w:p>
    <w:p>
      <w:pPr>
        <w:pStyle w:val="TextBody"/>
        <w:bidi w:val="0"/>
        <w:spacing w:before="0" w:after="0"/>
        <w:jc w:val="center"/>
        <w:rPr/>
      </w:pPr>
      <w:r>
        <w:rPr/>
        <w:drawing>
          <wp:inline distT="0" distB="0" distL="0" distR="0">
            <wp:extent cx="11430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619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0" w:after="0"/>
        <w:jc w:val="center"/>
        <w:rPr/>
      </w:pPr>
      <w:r>
        <w:rPr>
          <w:rFonts w:eastAsia="PMingLiU"/>
          <w:b/>
          <w:sz w:val="18"/>
        </w:rPr>
        <w:t>小鵬集團</w:t>
      </w:r>
      <w:r>
        <w:rPr>
          <w:rFonts w:ascii="Times New Roman" w:hAnsi="Times New Roman"/>
          <w:b/>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pPr>
      <w:r>
        <w:rPr>
          <w:rFonts w:eastAsia="PMingLiU"/>
          <w:b/>
          <w:sz w:val="18"/>
        </w:rPr>
        <w:t>（</w:t>
      </w:r>
      <w:r>
        <w:rPr>
          <w:rFonts w:ascii="Times New Roman" w:hAnsi="Times New Roman"/>
          <w:b/>
          <w:sz w:val="20"/>
        </w:rPr>
        <w:t>Stock Code: 9868</w:t>
      </w:r>
      <w:r>
        <w:rPr>
          <w:rFonts w:eastAsia="PMingLiU"/>
          <w:b/>
          <w:sz w:val="18"/>
        </w:rPr>
        <w:t>）</w:t>
      </w:r>
      <w:r>
        <w:rPr>
          <w:rFonts w:eastAsia="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BOARD MEETING </w:t>
      </w:r>
    </w:p>
    <w:p>
      <w:pPr>
        <w:pStyle w:val="TextBody"/>
        <w:bidi w:val="0"/>
        <w:spacing w:before="240" w:after="0"/>
        <w:jc w:val="left"/>
        <w:rPr>
          <w:rFonts w:ascii="Times New Roman" w:hAnsi="Times New Roman"/>
          <w:sz w:val="20"/>
        </w:rPr>
      </w:pPr>
      <w:r>
        <w:rPr>
          <w:rFonts w:ascii="Times New Roman" w:hAnsi="Times New Roman"/>
          <w:sz w:val="20"/>
        </w:rPr>
        <w:t>The board of directors (the “</w:t>
      </w:r>
      <w:r>
        <w:rPr>
          <w:rFonts w:ascii="Times New Roman" w:hAnsi="Times New Roman"/>
          <w:b/>
          <w:sz w:val="20"/>
        </w:rPr>
        <w:t>Board</w:t>
      </w:r>
      <w:r>
        <w:rPr>
          <w:rFonts w:ascii="Times New Roman" w:hAnsi="Times New Roman"/>
          <w:sz w:val="20"/>
        </w:rPr>
        <w:t>”) of XPeng Inc. (the “</w:t>
      </w:r>
      <w:r>
        <w:rPr>
          <w:rFonts w:ascii="Times New Roman" w:hAnsi="Times New Roman"/>
          <w:b/>
          <w:sz w:val="20"/>
        </w:rPr>
        <w:t>Company</w:t>
      </w:r>
      <w:r>
        <w:rPr>
          <w:rFonts w:ascii="Times New Roman" w:hAnsi="Times New Roman"/>
          <w:sz w:val="20"/>
        </w:rPr>
        <w:t xml:space="preserve">”) hereby announces that a meeting of the Board will be held on Monday, August 24, 2026, for the purposes of, among other matters, considering and approving (i) the second quarterly results of the Company and its subsidiaries for the three months ended June 30, 2026 and its publication, and (ii) the interim results of the Company and its subsidiaries for the six months ended June 30, 2026 and its publication.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will host an earnings conference call at 8:00 a.m. U.S. Eastern time on August 24, 2026 (8:00 p.m. Beijing/Hong Kong time on August 24, 2026). </w:t>
      </w:r>
    </w:p>
    <w:p>
      <w:pPr>
        <w:pStyle w:val="TextBody"/>
        <w:bidi w:val="0"/>
        <w:spacing w:before="240" w:after="0"/>
        <w:jc w:val="left"/>
        <w:rPr>
          <w:rFonts w:ascii="Times New Roman" w:hAnsi="Times New Roman"/>
          <w:sz w:val="20"/>
        </w:rPr>
      </w:pPr>
      <w:r>
        <w:rPr>
          <w:rFonts w:ascii="Times New Roman" w:hAnsi="Times New Roman"/>
          <w:sz w:val="20"/>
        </w:rPr>
        <w:t xml:space="preserve">For participants who wish to join the call by phone, please access the link provided below to complete the pre-registration and dial in 5 minutes prior to the scheduled call start time. Upon registration, each participant will receive dial-in details to join the conference call.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4"/>
        <w:gridCol w:w="120"/>
        <w:gridCol w:w="4981"/>
      </w:tblGrid>
      <w:tr>
        <w:trPr/>
        <w:tc>
          <w:tcPr>
            <w:tcW w:w="51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5104" w:type="dxa"/>
            <w:tcBorders/>
          </w:tcPr>
          <w:p>
            <w:pPr>
              <w:pStyle w:val="TableContents"/>
              <w:bidi w:val="0"/>
              <w:spacing w:before="0" w:after="283"/>
              <w:jc w:val="left"/>
              <w:rPr/>
            </w:pPr>
            <w:r>
              <w:rPr/>
              <w:t>Event Title:</w:t>
            </w:r>
          </w:p>
        </w:tc>
        <w:tc>
          <w:tcPr>
            <w:tcW w:w="120" w:type="dxa"/>
            <w:tcBorders/>
            <w:vAlign w:val="bottom"/>
          </w:tcPr>
          <w:p>
            <w:pPr>
              <w:pStyle w:val="TableContents"/>
              <w:bidi w:val="0"/>
              <w:spacing w:before="0" w:after="283"/>
              <w:jc w:val="left"/>
              <w:rPr/>
            </w:pPr>
            <w:r>
              <w:rPr/>
              <w:t>  </w:t>
            </w:r>
          </w:p>
        </w:tc>
        <w:tc>
          <w:tcPr>
            <w:tcW w:w="4981" w:type="dxa"/>
            <w:tcBorders/>
          </w:tcPr>
          <w:p>
            <w:pPr>
              <w:pStyle w:val="TableContents"/>
              <w:bidi w:val="0"/>
              <w:spacing w:before="0" w:after="283"/>
              <w:jc w:val="left"/>
              <w:rPr/>
            </w:pPr>
            <w:r>
              <w:rPr/>
              <w:t>XPENG Second Quarter 2026 Earnings Conference Call</w:t>
            </w:r>
          </w:p>
        </w:tc>
      </w:tr>
      <w:tr>
        <w:trPr/>
        <w:tc>
          <w:tcPr>
            <w:tcW w:w="5104" w:type="dxa"/>
            <w:tcBorders/>
          </w:tcPr>
          <w:p>
            <w:pPr>
              <w:pStyle w:val="TableContents"/>
              <w:bidi w:val="0"/>
              <w:spacing w:before="0" w:after="283"/>
              <w:jc w:val="left"/>
              <w:rPr/>
            </w:pPr>
            <w:r>
              <w:rPr/>
              <w:t>Pre-registration link:</w:t>
            </w:r>
          </w:p>
        </w:tc>
        <w:tc>
          <w:tcPr>
            <w:tcW w:w="120" w:type="dxa"/>
            <w:tcBorders/>
            <w:vAlign w:val="bottom"/>
          </w:tcPr>
          <w:p>
            <w:pPr>
              <w:pStyle w:val="TableContents"/>
              <w:bidi w:val="0"/>
              <w:spacing w:before="0" w:after="283"/>
              <w:jc w:val="left"/>
              <w:rPr/>
            </w:pPr>
            <w:r>
              <w:rPr/>
              <w:t>  </w:t>
            </w:r>
          </w:p>
        </w:tc>
        <w:tc>
          <w:tcPr>
            <w:tcW w:w="4981" w:type="dxa"/>
            <w:tcBorders/>
          </w:tcPr>
          <w:p>
            <w:pPr>
              <w:pStyle w:val="TableContents"/>
              <w:bidi w:val="0"/>
              <w:spacing w:before="0" w:after="283"/>
              <w:jc w:val="left"/>
              <w:rPr>
                <w:u w:val="single"/>
              </w:rPr>
            </w:pPr>
            <w:r>
              <w:rPr>
                <w:u w:val="single"/>
              </w:rPr>
              <w:t>https://s1.c-conf.com/diamondpass/10056093-aweri7.html</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 live and archived webcast of the conference call will be available on the Company’s investor relations website at </w:t>
      </w:r>
      <w:r>
        <w:rPr>
          <w:rFonts w:ascii="Times New Roman" w:hAnsi="Times New Roman"/>
          <w:sz w:val="20"/>
          <w:u w:val="single"/>
        </w:rPr>
        <w:t>http://ir.xiaopeng.com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replay of the conference call will be accessible approximately an hour after the conclusion of the call until September 1, 2026, by dialing the following telephone numbers: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184"/>
        <w:gridCol w:w="60"/>
        <w:gridCol w:w="1838"/>
      </w:tblGrid>
      <w:tr>
        <w:trPr/>
        <w:tc>
          <w:tcPr>
            <w:tcW w:w="21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6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left"/>
              <w:rPr/>
            </w:pPr>
            <w:r>
              <w:rPr/>
              <w:t>+1-855-883-1031</w:t>
            </w:r>
          </w:p>
        </w:tc>
      </w:tr>
      <w:tr>
        <w:trPr>
          <w:trHeight w:val="120" w:hRule="atLeast"/>
        </w:trPr>
        <w:tc>
          <w:tcPr>
            <w:tcW w:w="2184" w:type="dxa"/>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6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left"/>
              <w:rPr/>
            </w:pPr>
            <w:r>
              <w:rPr/>
              <w:t>+61-7-3107-6325</w:t>
            </w:r>
          </w:p>
        </w:tc>
      </w:tr>
      <w:tr>
        <w:trPr>
          <w:trHeight w:val="120" w:hRule="atLeast"/>
        </w:trPr>
        <w:tc>
          <w:tcPr>
            <w:tcW w:w="2184" w:type="dxa"/>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0"/>
              <w:jc w:val="left"/>
              <w:rPr>
                <w:rFonts w:ascii="Times New Roman" w:hAnsi="Times New Roman"/>
                <w:sz w:val="20"/>
              </w:rPr>
            </w:pPr>
            <w:r>
              <w:rPr>
                <w:rFonts w:ascii="Times New Roman" w:hAnsi="Times New Roman"/>
                <w:sz w:val="20"/>
              </w:rPr>
              <w:t>Hong Kong, China:</w:t>
            </w:r>
          </w:p>
        </w:tc>
        <w:tc>
          <w:tcPr>
            <w:tcW w:w="6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left"/>
              <w:rPr/>
            </w:pPr>
            <w:r>
              <w:rPr/>
              <w:t>800-930-639</w:t>
            </w:r>
          </w:p>
        </w:tc>
      </w:tr>
      <w:tr>
        <w:trPr>
          <w:trHeight w:val="120" w:hRule="atLeast"/>
        </w:trPr>
        <w:tc>
          <w:tcPr>
            <w:tcW w:w="2184" w:type="dxa"/>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0"/>
              <w:jc w:val="left"/>
              <w:rPr>
                <w:rFonts w:ascii="Times New Roman" w:hAnsi="Times New Roman"/>
                <w:sz w:val="20"/>
              </w:rPr>
            </w:pPr>
            <w:r>
              <w:rPr>
                <w:rFonts w:ascii="Times New Roman" w:hAnsi="Times New Roman"/>
                <w:sz w:val="20"/>
              </w:rPr>
              <w:t>China Mainland:</w:t>
            </w:r>
          </w:p>
        </w:tc>
        <w:tc>
          <w:tcPr>
            <w:tcW w:w="6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left"/>
              <w:rPr/>
            </w:pPr>
            <w:r>
              <w:rPr/>
              <w:t>400-120-9216</w:t>
            </w:r>
          </w:p>
        </w:tc>
      </w:tr>
      <w:tr>
        <w:trPr>
          <w:trHeight w:val="120" w:hRule="atLeast"/>
        </w:trPr>
        <w:tc>
          <w:tcPr>
            <w:tcW w:w="2184" w:type="dxa"/>
            <w:tcBorders/>
            <w:vAlign w:val="center"/>
          </w:tcPr>
          <w:p>
            <w:pPr>
              <w:pStyle w:val="TableContents"/>
              <w:bidi w:val="0"/>
              <w:spacing w:before="0" w:after="283"/>
              <w:jc w:val="left"/>
              <w:rPr>
                <w:sz w:val="4"/>
                <w:szCs w:val="4"/>
              </w:rPr>
            </w:pPr>
            <w:r>
              <w:rPr>
                <w:sz w:val="4"/>
                <w:szCs w:val="4"/>
              </w:rPr>
            </w:r>
          </w:p>
        </w:tc>
        <w:tc>
          <w:tcPr>
            <w:tcW w:w="1898" w:type="dxa"/>
            <w:gridSpan w:val="2"/>
            <w:tcBorders/>
            <w:vAlign w:val="center"/>
          </w:tcPr>
          <w:p>
            <w:pPr>
              <w:pStyle w:val="TableContents"/>
              <w:bidi w:val="0"/>
              <w:spacing w:before="0" w:after="283"/>
              <w:jc w:val="left"/>
              <w:rPr>
                <w:sz w:val="4"/>
                <w:szCs w:val="4"/>
              </w:rPr>
            </w:pPr>
            <w:r>
              <w:rPr>
                <w:sz w:val="4"/>
                <w:szCs w:val="4"/>
              </w:rPr>
            </w:r>
          </w:p>
        </w:tc>
      </w:tr>
      <w:tr>
        <w:trPr/>
        <w:tc>
          <w:tcPr>
            <w:tcW w:w="2184" w:type="dxa"/>
            <w:tcBorders/>
          </w:tcPr>
          <w:p>
            <w:pPr>
              <w:pStyle w:val="TableContents"/>
              <w:bidi w:val="0"/>
              <w:spacing w:before="0" w:after="0"/>
              <w:jc w:val="left"/>
              <w:rPr>
                <w:rFonts w:ascii="Times New Roman" w:hAnsi="Times New Roman"/>
                <w:sz w:val="20"/>
              </w:rPr>
            </w:pPr>
            <w:r>
              <w:rPr>
                <w:rFonts w:ascii="Times New Roman" w:hAnsi="Times New Roman"/>
                <w:sz w:val="20"/>
              </w:rPr>
              <w:t>Replay PIN:</w:t>
            </w:r>
          </w:p>
        </w:tc>
        <w:tc>
          <w:tcPr>
            <w:tcW w:w="60" w:type="dxa"/>
            <w:tcBorders/>
            <w:vAlign w:val="bottom"/>
          </w:tcPr>
          <w:p>
            <w:pPr>
              <w:pStyle w:val="TableContents"/>
              <w:bidi w:val="0"/>
              <w:spacing w:before="0" w:after="283"/>
              <w:jc w:val="left"/>
              <w:rPr/>
            </w:pPr>
            <w:r>
              <w:rPr/>
              <w:t> </w:t>
            </w:r>
          </w:p>
        </w:tc>
        <w:tc>
          <w:tcPr>
            <w:tcW w:w="1838" w:type="dxa"/>
            <w:tcBorders/>
            <w:vAlign w:val="bottom"/>
          </w:tcPr>
          <w:p>
            <w:pPr>
              <w:pStyle w:val="TableContents"/>
              <w:bidi w:val="0"/>
              <w:spacing w:before="0" w:after="283"/>
              <w:jc w:val="left"/>
              <w:rPr/>
            </w:pPr>
            <w:r>
              <w:rPr/>
              <w:t>10056093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center"/>
              <w:rPr>
                <w:rFonts w:ascii="Times New Roman" w:hAnsi="Times New Roman"/>
                <w:sz w:val="20"/>
              </w:rPr>
            </w:pPr>
            <w:r>
              <w:rPr>
                <w:rFonts w:ascii="Times New Roman" w:hAnsi="Times New Roman"/>
                <w:sz w:val="20"/>
              </w:rPr>
              <w:t>By order of the Board</w:t>
            </w:r>
          </w:p>
          <w:p>
            <w:pPr>
              <w:pStyle w:val="TableContents"/>
              <w:bidi w:val="0"/>
              <w:spacing w:before="0" w:after="0"/>
              <w:jc w:val="center"/>
              <w:rPr>
                <w:rFonts w:ascii="Times New Roman" w:hAnsi="Times New Roman"/>
                <w:b/>
                <w:sz w:val="20"/>
              </w:rPr>
            </w:pPr>
            <w:r>
              <w:rPr>
                <w:rFonts w:ascii="Times New Roman" w:hAnsi="Times New Roman"/>
                <w:b/>
                <w:sz w:val="20"/>
              </w:rPr>
              <w:t>XPeng Inc.</w:t>
            </w:r>
          </w:p>
          <w:p>
            <w:pPr>
              <w:pStyle w:val="TableContents"/>
              <w:bidi w:val="0"/>
              <w:spacing w:before="0" w:after="0"/>
              <w:jc w:val="center"/>
              <w:rPr>
                <w:rFonts w:ascii="Times New Roman" w:hAnsi="Times New Roman"/>
                <w:b/>
                <w:sz w:val="20"/>
              </w:rPr>
            </w:pPr>
            <w:r>
              <w:rPr>
                <w:rFonts w:ascii="Times New Roman" w:hAnsi="Times New Roman"/>
                <w:b/>
                <w:sz w:val="20"/>
              </w:rPr>
              <w:t>Xiaopeng He</w:t>
            </w:r>
          </w:p>
          <w:p>
            <w:pPr>
              <w:pStyle w:val="TableContents"/>
              <w:bidi w:val="0"/>
              <w:spacing w:before="0" w:after="20"/>
              <w:jc w:val="center"/>
              <w:rPr>
                <w:rFonts w:ascii="Times New Roman" w:hAnsi="Times New Roman"/>
                <w:i/>
                <w:sz w:val="20"/>
              </w:rPr>
            </w:pPr>
            <w:r>
              <w:rPr>
                <w:rFonts w:ascii="Times New Roman" w:hAnsi="Times New Roman"/>
                <w:i/>
                <w:sz w:val="20"/>
              </w:rPr>
              <w:t>Chairman</w:t>
            </w:r>
          </w:p>
        </w:tc>
      </w:tr>
    </w:tbl>
    <w:p>
      <w:pPr>
        <w:pStyle w:val="TextBody"/>
        <w:bidi w:val="0"/>
        <w:spacing w:before="360" w:after="0"/>
        <w:jc w:val="left"/>
        <w:rPr>
          <w:rFonts w:ascii="Times New Roman" w:hAnsi="Times New Roman"/>
          <w:sz w:val="20"/>
        </w:rPr>
      </w:pPr>
      <w:r>
        <w:rPr>
          <w:rFonts w:ascii="Times New Roman" w:hAnsi="Times New Roman"/>
          <w:sz w:val="20"/>
        </w:rPr>
        <w:t xml:space="preserve">Hong Kong, Tuesday, August 4,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notice, the Board comprises Mr. Xiaopeng He as an executive director, Mr. Ji-Xun Foo as a non-executive director, and Mr. Donghao Yang, Ms. Fang Qu, Mr. HongJiang Zhang and Mr. Yudong Chen as independent non-executive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i/>
                <w:sz w:val="20"/>
              </w:rPr>
              <w:t>For identification purpose only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538</Words>
  <Characters>2891</Characters>
  <CharactersWithSpaces>3439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