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5446d6k.htm"/>
      <w:bookmarkStart w:id="1" w:name="ksd7544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001-39466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8"/>
        <w:gridCol w:w="316"/>
        <w:gridCol w:w="8681"/>
      </w:tblGrid>
      <w:tr>
        <w:trPr/>
        <w:tc>
          <w:tcPr>
            <w:tcW w:w="1208"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Exhibit 99.1</w:t>
            </w:r>
          </w:p>
        </w:tc>
        <w:tc>
          <w:tcPr>
            <w:tcW w:w="316" w:type="dxa"/>
            <w:tcBorders/>
            <w:vAlign w:val="bottom"/>
          </w:tcPr>
          <w:p>
            <w:pPr>
              <w:pStyle w:val="TableContents"/>
              <w:bidi w:val="0"/>
              <w:spacing w:before="0" w:after="283"/>
              <w:jc w:val="left"/>
              <w:rPr/>
            </w:pPr>
            <w:r>
              <w:rPr/>
              <w:t>  </w:t>
            </w:r>
          </w:p>
        </w:tc>
        <w:tc>
          <w:tcPr>
            <w:tcW w:w="8681" w:type="dxa"/>
            <w:tcBorders/>
          </w:tcPr>
          <w:p>
            <w:pPr>
              <w:pStyle w:val="TableContents"/>
              <w:bidi w:val="0"/>
              <w:spacing w:before="0" w:after="283"/>
              <w:jc w:val="left"/>
              <w:rPr/>
            </w:pPr>
            <w:hyperlink w:anchor="d75446dex991.htm">
              <w:r>
                <w:rPr>
                  <w:rStyle w:val="InternetLink"/>
                </w:rPr>
                <w:t xml:space="preserve">Press Release: XPENG Reports Second Quarter 2026 Unaudited Financial Results </w:t>
              </w:r>
            </w:hyperlink>
          </w:p>
        </w:tc>
      </w:tr>
      <w:tr>
        <w:trPr/>
        <w:tc>
          <w:tcPr>
            <w:tcW w:w="1208" w:type="dxa"/>
            <w:tcBorders/>
          </w:tcPr>
          <w:p>
            <w:pPr>
              <w:pStyle w:val="TableContents"/>
              <w:bidi w:val="0"/>
              <w:spacing w:before="0" w:after="283"/>
              <w:jc w:val="left"/>
              <w:rPr/>
            </w:pPr>
            <w:r>
              <w:rPr/>
              <w:t>Exhibit 99.2</w:t>
            </w:r>
          </w:p>
        </w:tc>
        <w:tc>
          <w:tcPr>
            <w:tcW w:w="316" w:type="dxa"/>
            <w:tcBorders/>
            <w:vAlign w:val="bottom"/>
          </w:tcPr>
          <w:p>
            <w:pPr>
              <w:pStyle w:val="TableContents"/>
              <w:bidi w:val="0"/>
              <w:spacing w:before="0" w:after="283"/>
              <w:jc w:val="left"/>
              <w:rPr/>
            </w:pPr>
            <w:r>
              <w:rPr/>
              <w:t>  </w:t>
            </w:r>
          </w:p>
        </w:tc>
        <w:tc>
          <w:tcPr>
            <w:tcW w:w="8681" w:type="dxa"/>
            <w:tcBorders/>
          </w:tcPr>
          <w:p>
            <w:pPr>
              <w:pStyle w:val="TableContents"/>
              <w:bidi w:val="0"/>
              <w:spacing w:before="0" w:after="283"/>
              <w:jc w:val="left"/>
              <w:rPr/>
            </w:pPr>
            <w:hyperlink w:anchor="d75446dex992.htm">
              <w:r>
                <w:rPr>
                  <w:rStyle w:val="InternetLink"/>
                </w:rPr>
                <w:t xml:space="preserve">Announcement: Interim Results Announcement for the Six Months Ended June 30,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8"/>
        <w:gridCol w:w="61"/>
        <w:gridCol w:w="3283"/>
      </w:tblGrid>
      <w:tr>
        <w:trPr/>
        <w:tc>
          <w:tcPr>
            <w:tcW w:w="73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XPENG INC.</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Xiaopeng He</w:t>
            </w:r>
          </w:p>
        </w:tc>
      </w:tr>
      <w:tr>
        <w:trPr/>
        <w:tc>
          <w:tcPr>
            <w:tcW w:w="738"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Xiaopeng He</w:t>
            </w:r>
          </w:p>
        </w:tc>
      </w:tr>
      <w:tr>
        <w:trPr/>
        <w:tc>
          <w:tcPr>
            <w:tcW w:w="738"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25, 2026 </w:t>
      </w:r>
    </w:p>
    <w:p>
      <w:pPr>
        <w:pStyle w:val="TextBody"/>
        <w:bidi w:val="0"/>
        <w:spacing w:before="0" w:after="0"/>
        <w:jc w:val="right"/>
        <w:rPr>
          <w:rFonts w:ascii="Times New Roman" w:hAnsi="Times New Roman"/>
          <w:b/>
          <w:sz w:val="20"/>
        </w:rPr>
      </w:pPr>
      <w:bookmarkStart w:id="2" w:name="d75446dex991.htm"/>
      <w:bookmarkStart w:id="3" w:name="ksd75446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XPENG Reports Second Quarter 2026 Unaudited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i/>
                <w:sz w:val="20"/>
              </w:rPr>
              <w:t>Cash positioni</w:t>
            </w:r>
            <w:r>
              <w:rPr>
                <w:rFonts w:ascii="Times New Roman" w:hAnsi="Times New Roman"/>
                <w:sz w:val="20"/>
              </w:rPr>
              <w:t xml:space="preserve"> </w:t>
            </w:r>
            <w:r>
              <w:rPr>
                <w:rFonts w:ascii="Times New Roman" w:hAnsi="Times New Roman"/>
                <w:i/>
                <w:sz w:val="20"/>
              </w:rPr>
              <w:t>was RMB40.48</w:t>
            </w:r>
            <w:r>
              <w:rPr>
                <w:rFonts w:ascii="Times New Roman" w:hAnsi="Times New Roman"/>
                <w:sz w:val="20"/>
              </w:rPr>
              <w:t> </w:t>
            </w:r>
            <w:r>
              <w:rPr>
                <w:rFonts w:ascii="Times New Roman" w:hAnsi="Times New Roman"/>
                <w:i/>
                <w:sz w:val="20"/>
              </w:rPr>
              <w:t>billion (US$5.97 billion) as of June 30, 2026</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Quarterly total revenues were RMB19.74</w:t>
            </w:r>
            <w:r>
              <w:rPr>
                <w:rFonts w:ascii="Times New Roman" w:hAnsi="Times New Roman"/>
                <w:sz w:val="20"/>
              </w:rPr>
              <w:t> </w:t>
            </w:r>
            <w:r>
              <w:rPr>
                <w:rFonts w:ascii="Times New Roman" w:hAnsi="Times New Roman"/>
                <w:i/>
                <w:sz w:val="20"/>
              </w:rPr>
              <w:t>billion, a 51.5% increase quarter-over-quarter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Quarterly gross margin was 20.7%, an increase of 3.4 percentage points over the same period of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Quarterly vehicle margin was 12.1%, remained relatively stable quarter-over-quarter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GUANGZHOU</w:t>
      </w:r>
      <w:r>
        <w:rPr>
          <w:rFonts w:ascii="Times New Roman" w:hAnsi="Times New Roman"/>
          <w:sz w:val="20"/>
        </w:rPr>
        <w:t>, China, August 24, 2026 — XPeng Inc. (“</w:t>
      </w:r>
      <w:r>
        <w:rPr>
          <w:rFonts w:ascii="Times New Roman" w:hAnsi="Times New Roman"/>
          <w:b/>
          <w:sz w:val="20"/>
        </w:rPr>
        <w:t>XPENG</w:t>
      </w:r>
      <w:r>
        <w:rPr>
          <w:rFonts w:ascii="Times New Roman" w:hAnsi="Times New Roman"/>
          <w:sz w:val="20"/>
        </w:rPr>
        <w:t>” or the “</w:t>
      </w:r>
      <w:r>
        <w:rPr>
          <w:rFonts w:ascii="Times New Roman" w:hAnsi="Times New Roman"/>
          <w:b/>
          <w:sz w:val="20"/>
        </w:rPr>
        <w:t>Company</w:t>
      </w:r>
      <w:r>
        <w:rPr>
          <w:rFonts w:ascii="Times New Roman" w:hAnsi="Times New Roman"/>
          <w:sz w:val="20"/>
        </w:rPr>
        <w:t xml:space="preserve">,” NYSE: XPEV and HKEX: 9868), a leading global Physical AI company, today announced its unaudited financial results for the three months ended June 30,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Operational and Financial Highlights for the Three Months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99"/>
        <w:gridCol w:w="139"/>
        <w:gridCol w:w="60"/>
        <w:gridCol w:w="839"/>
        <w:gridCol w:w="60"/>
        <w:gridCol w:w="139"/>
        <w:gridCol w:w="64"/>
        <w:gridCol w:w="740"/>
        <w:gridCol w:w="60"/>
        <w:gridCol w:w="139"/>
        <w:gridCol w:w="60"/>
        <w:gridCol w:w="839"/>
        <w:gridCol w:w="59"/>
        <w:gridCol w:w="139"/>
        <w:gridCol w:w="60"/>
        <w:gridCol w:w="839"/>
        <w:gridCol w:w="60"/>
        <w:gridCol w:w="139"/>
        <w:gridCol w:w="60"/>
        <w:gridCol w:w="839"/>
        <w:gridCol w:w="60"/>
        <w:gridCol w:w="139"/>
        <w:gridCol w:w="64"/>
        <w:gridCol w:w="740"/>
        <w:gridCol w:w="69"/>
      </w:tblGrid>
      <w:tr>
        <w:trPr/>
        <w:tc>
          <w:tcPr>
            <w:tcW w:w="379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79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9" w:type="dxa"/>
            <w:gridSpan w:val="2"/>
            <w:tcBorders/>
            <w:vAlign w:val="bottom"/>
          </w:tcPr>
          <w:p>
            <w:pPr>
              <w:pStyle w:val="TableContents"/>
              <w:bidi w:val="0"/>
              <w:spacing w:before="0" w:after="283"/>
              <w:jc w:val="center"/>
              <w:rPr>
                <w:b/>
              </w:rPr>
            </w:pPr>
            <w:r>
              <w:rPr>
                <w:b/>
              </w:rPr>
              <w:t>2026Q2</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04" w:type="dxa"/>
            <w:gridSpan w:val="2"/>
            <w:tcBorders/>
            <w:vAlign w:val="bottom"/>
          </w:tcPr>
          <w:p>
            <w:pPr>
              <w:pStyle w:val="TableContents"/>
              <w:bidi w:val="0"/>
              <w:spacing w:before="0" w:after="283"/>
              <w:jc w:val="center"/>
              <w:rPr>
                <w:b/>
              </w:rPr>
            </w:pPr>
            <w:r>
              <w:rPr>
                <w:b/>
              </w:rPr>
              <w:t>2026Q1</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9" w:type="dxa"/>
            <w:gridSpan w:val="2"/>
            <w:tcBorders/>
            <w:vAlign w:val="bottom"/>
          </w:tcPr>
          <w:p>
            <w:pPr>
              <w:pStyle w:val="TableContents"/>
              <w:bidi w:val="0"/>
              <w:spacing w:before="0" w:after="283"/>
              <w:jc w:val="center"/>
              <w:rPr>
                <w:b/>
              </w:rPr>
            </w:pPr>
            <w:r>
              <w:rPr>
                <w:b/>
              </w:rPr>
              <w:t>2025Q4</w:t>
            </w:r>
          </w:p>
        </w:tc>
        <w:tc>
          <w:tcPr>
            <w:tcW w:w="5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9" w:type="dxa"/>
            <w:gridSpan w:val="2"/>
            <w:tcBorders/>
            <w:vAlign w:val="bottom"/>
          </w:tcPr>
          <w:p>
            <w:pPr>
              <w:pStyle w:val="TableContents"/>
              <w:bidi w:val="0"/>
              <w:spacing w:before="0" w:after="283"/>
              <w:jc w:val="center"/>
              <w:rPr>
                <w:b/>
              </w:rPr>
            </w:pPr>
            <w:r>
              <w:rPr>
                <w:b/>
              </w:rPr>
              <w:t>2025Q3</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9" w:type="dxa"/>
            <w:gridSpan w:val="2"/>
            <w:tcBorders/>
            <w:vAlign w:val="bottom"/>
          </w:tcPr>
          <w:p>
            <w:pPr>
              <w:pStyle w:val="TableContents"/>
              <w:bidi w:val="0"/>
              <w:spacing w:before="0" w:after="283"/>
              <w:jc w:val="center"/>
              <w:rPr>
                <w:b/>
              </w:rPr>
            </w:pPr>
            <w:r>
              <w:rPr>
                <w:b/>
              </w:rPr>
              <w:t>2025Q2</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04" w:type="dxa"/>
            <w:gridSpan w:val="2"/>
            <w:tcBorders/>
            <w:vAlign w:val="bottom"/>
          </w:tcPr>
          <w:p>
            <w:pPr>
              <w:pStyle w:val="TableContents"/>
              <w:bidi w:val="0"/>
              <w:spacing w:before="0" w:after="283"/>
              <w:jc w:val="center"/>
              <w:rPr>
                <w:b/>
              </w:rPr>
            </w:pPr>
            <w:r>
              <w:rPr>
                <w:b/>
              </w:rPr>
              <w:t>2025Q1</w:t>
            </w:r>
          </w:p>
        </w:tc>
        <w:tc>
          <w:tcPr>
            <w:tcW w:w="69" w:type="dxa"/>
            <w:tcBorders/>
            <w:vAlign w:val="bottom"/>
          </w:tcPr>
          <w:p>
            <w:pPr>
              <w:pStyle w:val="TableContents"/>
              <w:bidi w:val="0"/>
              <w:spacing w:before="0" w:after="283"/>
              <w:jc w:val="left"/>
              <w:rPr/>
            </w:pPr>
            <w:r>
              <w:rPr/>
              <w:t> </w:t>
            </w:r>
          </w:p>
        </w:tc>
      </w:tr>
      <w:tr>
        <w:trPr/>
        <w:tc>
          <w:tcPr>
            <w:tcW w:w="3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deliveries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103,295</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62,682</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116,249</w:t>
            </w:r>
          </w:p>
        </w:tc>
        <w:tc>
          <w:tcPr>
            <w:tcW w:w="59"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116,007</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103,181</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94,008</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deliveries of vehicles </w:t>
            </w:r>
            <w:r>
              <w:rPr>
                <w:rFonts w:ascii="Times New Roman" w:hAnsi="Times New Roman"/>
                <w:sz w:val="20"/>
              </w:rPr>
              <w:t xml:space="preserve">were 103,295 for the second quarter of 2026, representing an increase of 0.1% from 103,181 in the corresponding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XPENG’s physical sales network </w:t>
            </w:r>
            <w:r>
              <w:rPr>
                <w:rFonts w:ascii="Times New Roman" w:hAnsi="Times New Roman"/>
                <w:sz w:val="20"/>
              </w:rPr>
              <w:t xml:space="preserve">had a total of 740 stores, covering 257 cities as of June 30, 2026.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position includes cash and cash equivalents, restricted cash, short-term investments and time deposits. Time deposits include restricted short-term deposits, short-term deposits, current portion and non-current portion of restricted long-term deposits, current portion and non-current portion of long-term deposits.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XPENG self-operated charging station network </w:t>
            </w:r>
            <w:r>
              <w:rPr>
                <w:rFonts w:ascii="Times New Roman" w:hAnsi="Times New Roman"/>
                <w:sz w:val="20"/>
              </w:rPr>
              <w:t xml:space="preserve">reached 3,780 stations, including 2,720 XPENG ultra-fast charging stations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revenues </w:t>
            </w:r>
            <w:r>
              <w:rPr>
                <w:rFonts w:ascii="Times New Roman" w:hAnsi="Times New Roman"/>
                <w:sz w:val="20"/>
              </w:rPr>
              <w:t xml:space="preserve">were RMB19.74 billion (US$2.91 billion) for the second quarter of 2026, representing an increase of 8.0% from the same period of 2025, and an increase of 51.5% from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Revenues from vehicle sales </w:t>
            </w:r>
            <w:r>
              <w:rPr>
                <w:rFonts w:ascii="Times New Roman" w:hAnsi="Times New Roman"/>
                <w:sz w:val="20"/>
              </w:rPr>
              <w:t xml:space="preserve">were RMB17.05 billion (US$2.51 billion) for the second quarter of 2026, representing an increase of 1.0% from the same period of 2025, and an increase of 55.0% from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Gross margin </w:t>
            </w:r>
            <w:r>
              <w:rPr>
                <w:rFonts w:ascii="Times New Roman" w:hAnsi="Times New Roman"/>
                <w:sz w:val="20"/>
              </w:rPr>
              <w:t xml:space="preserve">was 20.7% for the second quarter of 2026, compared with 17.3% for the same period of 2025 and 20.6% for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Vehicle margin</w:t>
            </w:r>
            <w:r>
              <w:rPr>
                <w:rFonts w:ascii="Times New Roman" w:hAnsi="Times New Roman"/>
                <w:sz w:val="20"/>
              </w:rPr>
              <w:t xml:space="preserve">, which is gross profit of vehicle sales as a percentage of vehicle sales revenue, was 12.1% for the second quarter of 2026, compared with 14.3% for the same period of 2025 and 12.1% for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was RMB1.34 billion (US$0.20 billion) for the second quarter of 2026, compared with a loss of RMB0.48 billion for the same period of 2025 and a loss of RMB1.78 billion for the first quarter of 2026. Excluding share-based compensation expenses and fair value gain on derivative liability relating to the contingent consideration, </w:t>
            </w:r>
            <w:r>
              <w:rPr>
                <w:rFonts w:ascii="Times New Roman" w:hAnsi="Times New Roman"/>
                <w:b/>
                <w:sz w:val="20"/>
              </w:rPr>
              <w:t xml:space="preserve">non-GAAP net loss </w:t>
            </w:r>
            <w:r>
              <w:rPr>
                <w:rFonts w:ascii="Times New Roman" w:hAnsi="Times New Roman"/>
                <w:sz w:val="20"/>
              </w:rPr>
              <w:t xml:space="preserve">was RMB1.24 billion (US$0.18 billion) for the second quarter of 2026, compared with a loss of RMB0.39 billion for the same period of 2025 and a loss of RMB1.69 billion for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attributable to ordinary shareholders of XPENG </w:t>
            </w:r>
            <w:r>
              <w:rPr>
                <w:rFonts w:ascii="Times New Roman" w:hAnsi="Times New Roman"/>
                <w:sz w:val="20"/>
              </w:rPr>
              <w:t xml:space="preserve">was RMB1.34 billion (US$0.20 billion) for the second quarter of 2026, compared with a loss of RMB0.48 billion for the same period of 2025 and a loss of RMB1.78 billion for the first quarter of 2026. Excluding share-based compensation expenses and fair value gain on derivative liability relating to the contingent consideration, </w:t>
            </w:r>
            <w:r>
              <w:rPr>
                <w:rFonts w:ascii="Times New Roman" w:hAnsi="Times New Roman"/>
                <w:b/>
                <w:sz w:val="20"/>
              </w:rPr>
              <w:t xml:space="preserve">non-GAAP net loss attributable to ordinary shareholders of XPENG </w:t>
            </w:r>
            <w:r>
              <w:rPr>
                <w:rFonts w:ascii="Times New Roman" w:hAnsi="Times New Roman"/>
                <w:sz w:val="20"/>
              </w:rPr>
              <w:t xml:space="preserve">was RMB1.24 billion (US$0.18 billion) for the second quarter of 2026, compared with a loss of RMB0.39 billion for the same period of 2025 and a loss of RMB1.69 billion for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Basic and diluted net loss per American depositary share (ADS) </w:t>
            </w:r>
            <w:r>
              <w:rPr>
                <w:rFonts w:ascii="Times New Roman" w:hAnsi="Times New Roman"/>
                <w:sz w:val="20"/>
              </w:rPr>
              <w:t xml:space="preserve">were both RMB1.40 (US$0.21) and </w:t>
            </w:r>
            <w:r>
              <w:rPr>
                <w:rFonts w:ascii="Times New Roman" w:hAnsi="Times New Roman"/>
                <w:b/>
                <w:sz w:val="20"/>
              </w:rPr>
              <w:t xml:space="preserve">basic and diluted net loss per ordinary share </w:t>
            </w:r>
            <w:r>
              <w:rPr>
                <w:rFonts w:ascii="Times New Roman" w:hAnsi="Times New Roman"/>
                <w:sz w:val="20"/>
              </w:rPr>
              <w:t xml:space="preserve">were both RMB0.70 (US$0.10) for the second quarter of 2026. Each ADS represents two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Non-GAAP basic and diluted net loss per ADS </w:t>
            </w:r>
            <w:r>
              <w:rPr>
                <w:rFonts w:ascii="Times New Roman" w:hAnsi="Times New Roman"/>
                <w:sz w:val="20"/>
              </w:rPr>
              <w:t xml:space="preserve">were both RMB1.29 (US$0.19), and </w:t>
            </w:r>
            <w:r>
              <w:rPr>
                <w:rFonts w:ascii="Times New Roman" w:hAnsi="Times New Roman"/>
                <w:b/>
                <w:sz w:val="20"/>
              </w:rPr>
              <w:t xml:space="preserve">non-GAAP basic and diluted net loss per ordinary share </w:t>
            </w:r>
            <w:r>
              <w:rPr>
                <w:rFonts w:ascii="Times New Roman" w:hAnsi="Times New Roman"/>
                <w:sz w:val="20"/>
              </w:rPr>
              <w:t xml:space="preserve">were both RMB0.65 (US$0.10) for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position </w:t>
            </w:r>
            <w:r>
              <w:rPr>
                <w:rFonts w:ascii="Times New Roman" w:hAnsi="Times New Roman"/>
                <w:sz w:val="20"/>
              </w:rPr>
              <w:t xml:space="preserve">was RMB40.48 billion (US$5.97 billion) as of June 30, 2026, compared with RMB42.09 billion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Key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(in RMB billions, except for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43"/>
        <w:gridCol w:w="192"/>
        <w:gridCol w:w="70"/>
        <w:gridCol w:w="667"/>
        <w:gridCol w:w="375"/>
        <w:gridCol w:w="147"/>
        <w:gridCol w:w="70"/>
        <w:gridCol w:w="667"/>
        <w:gridCol w:w="328"/>
        <w:gridCol w:w="147"/>
        <w:gridCol w:w="70"/>
        <w:gridCol w:w="672"/>
        <w:gridCol w:w="286"/>
        <w:gridCol w:w="138"/>
        <w:gridCol w:w="60"/>
        <w:gridCol w:w="729"/>
        <w:gridCol w:w="285"/>
        <w:gridCol w:w="138"/>
        <w:gridCol w:w="60"/>
        <w:gridCol w:w="662"/>
        <w:gridCol w:w="299"/>
      </w:tblGrid>
      <w:tr>
        <w:trPr/>
        <w:tc>
          <w:tcPr>
            <w:tcW w:w="4143"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14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213" w:type="dxa"/>
            <w:gridSpan w:val="10"/>
            <w:tcBorders/>
            <w:vAlign w:val="bottom"/>
          </w:tcPr>
          <w:p>
            <w:pPr>
              <w:pStyle w:val="TableContents"/>
              <w:bidi w:val="0"/>
              <w:spacing w:before="0" w:after="283"/>
              <w:jc w:val="center"/>
              <w:rPr>
                <w:b/>
              </w:rPr>
            </w:pPr>
            <w:r>
              <w:rPr>
                <w:b/>
              </w:rPr>
              <w:t>For the Three Months Ended</w:t>
            </w:r>
          </w:p>
        </w:tc>
        <w:tc>
          <w:tcPr>
            <w:tcW w:w="28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34" w:type="dxa"/>
            <w:gridSpan w:val="6"/>
            <w:tcBorders/>
            <w:vAlign w:val="bottom"/>
          </w:tcPr>
          <w:p>
            <w:pPr>
              <w:pStyle w:val="TableContents"/>
              <w:bidi w:val="0"/>
              <w:spacing w:before="0" w:after="283"/>
              <w:jc w:val="center"/>
              <w:rPr>
                <w:b/>
              </w:rPr>
            </w:pPr>
            <w:r>
              <w:rPr>
                <w:b/>
              </w:rPr>
              <w:t>% Changeii</w:t>
            </w:r>
          </w:p>
        </w:tc>
        <w:tc>
          <w:tcPr>
            <w:tcW w:w="299" w:type="dxa"/>
            <w:tcBorders/>
            <w:vAlign w:val="bottom"/>
          </w:tcPr>
          <w:p>
            <w:pPr>
              <w:pStyle w:val="TableContents"/>
              <w:bidi w:val="0"/>
              <w:spacing w:before="0" w:after="283"/>
              <w:jc w:val="left"/>
              <w:rPr/>
            </w:pPr>
            <w:r>
              <w:rPr/>
              <w:t> </w:t>
            </w:r>
          </w:p>
        </w:tc>
      </w:tr>
      <w:tr>
        <w:trPr/>
        <w:tc>
          <w:tcPr>
            <w:tcW w:w="414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3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March 31,</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3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42"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20"/>
              <w:jc w:val="center"/>
              <w:rPr>
                <w:rFonts w:ascii="Times New Roman" w:hAnsi="Times New Roman"/>
                <w:b/>
                <w:sz w:val="16"/>
              </w:rPr>
            </w:pPr>
            <w:r>
              <w:rPr>
                <w:rFonts w:ascii="Times New Roman" w:hAnsi="Times New Roman"/>
                <w:b/>
                <w:sz w:val="16"/>
              </w:rPr>
              <w:t>2025</w:t>
            </w:r>
          </w:p>
        </w:tc>
        <w:tc>
          <w:tcPr>
            <w:tcW w:w="28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789" w:type="dxa"/>
            <w:gridSpan w:val="2"/>
            <w:tcBorders/>
            <w:vAlign w:val="bottom"/>
          </w:tcPr>
          <w:p>
            <w:pPr>
              <w:pStyle w:val="TableContents"/>
              <w:bidi w:val="0"/>
              <w:spacing w:before="0" w:after="283"/>
              <w:jc w:val="center"/>
              <w:rPr>
                <w:b/>
              </w:rPr>
            </w:pPr>
            <w:r>
              <w:rPr>
                <w:b/>
              </w:rPr>
              <w:t>YoY</w:t>
            </w:r>
          </w:p>
        </w:tc>
        <w:tc>
          <w:tcPr>
            <w:tcW w:w="28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722" w:type="dxa"/>
            <w:gridSpan w:val="2"/>
            <w:tcBorders/>
            <w:vAlign w:val="bottom"/>
          </w:tcPr>
          <w:p>
            <w:pPr>
              <w:pStyle w:val="TableContents"/>
              <w:bidi w:val="0"/>
              <w:spacing w:before="0" w:after="283"/>
              <w:jc w:val="center"/>
              <w:rPr>
                <w:b/>
              </w:rPr>
            </w:pPr>
            <w:r>
              <w:rPr>
                <w:b/>
              </w:rPr>
              <w:t>QoQ</w:t>
            </w:r>
          </w:p>
        </w:tc>
        <w:tc>
          <w:tcPr>
            <w:tcW w:w="299" w:type="dxa"/>
            <w:tcBorders/>
            <w:vAlign w:val="bottom"/>
          </w:tcPr>
          <w:p>
            <w:pPr>
              <w:pStyle w:val="TableContents"/>
              <w:bidi w:val="0"/>
              <w:spacing w:before="0" w:after="283"/>
              <w:jc w:val="left"/>
              <w:rPr/>
            </w:pPr>
            <w:r>
              <w:rPr/>
              <w:t> </w:t>
            </w:r>
          </w:p>
        </w:tc>
      </w:tr>
      <w:tr>
        <w:trPr/>
        <w:tc>
          <w:tcPr>
            <w:tcW w:w="4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9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b/>
              </w:rPr>
            </w:pPr>
            <w:r>
              <w:rPr>
                <w:b/>
              </w:rPr>
              <w:t>17.05</w:t>
            </w:r>
          </w:p>
        </w:tc>
        <w:tc>
          <w:tcPr>
            <w:tcW w:w="3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11.00</w:t>
            </w:r>
          </w:p>
        </w:tc>
        <w:tc>
          <w:tcPr>
            <w:tcW w:w="3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16.88</w:t>
            </w:r>
          </w:p>
        </w:tc>
        <w:tc>
          <w:tcPr>
            <w:tcW w:w="28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1.0</w:t>
            </w:r>
          </w:p>
        </w:tc>
        <w:tc>
          <w:tcPr>
            <w:tcW w:w="28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55.0</w:t>
            </w:r>
          </w:p>
        </w:tc>
        <w:tc>
          <w:tcPr>
            <w:tcW w:w="299" w:type="dxa"/>
            <w:tcBorders/>
            <w:shd w:fill="CCEEFF" w:val="clear"/>
            <w:vAlign w:val="bottom"/>
          </w:tcPr>
          <w:p>
            <w:pPr>
              <w:pStyle w:val="TableContents"/>
              <w:bidi w:val="0"/>
              <w:spacing w:before="0" w:after="283"/>
              <w:jc w:val="left"/>
              <w:rPr/>
            </w:pPr>
            <w:r>
              <w:rPr/>
              <w:t>% </w:t>
            </w:r>
          </w:p>
        </w:tc>
      </w:tr>
      <w:tr>
        <w:trPr/>
        <w:tc>
          <w:tcPr>
            <w:tcW w:w="4143" w:type="dxa"/>
            <w:tcBorders/>
          </w:tcPr>
          <w:p>
            <w:pPr>
              <w:pStyle w:val="TableContents"/>
              <w:bidi w:val="0"/>
              <w:spacing w:before="0" w:after="0"/>
              <w:jc w:val="left"/>
              <w:rPr>
                <w:rFonts w:ascii="Times New Roman" w:hAnsi="Times New Roman"/>
                <w:sz w:val="20"/>
              </w:rPr>
            </w:pPr>
            <w:r>
              <w:rPr>
                <w:rFonts w:ascii="Times New Roman" w:hAnsi="Times New Roman"/>
                <w:sz w:val="20"/>
              </w:rPr>
              <w:t>Vehicle margin</w:t>
            </w:r>
          </w:p>
        </w:tc>
        <w:tc>
          <w:tcPr>
            <w:tcW w:w="19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b/>
              </w:rPr>
            </w:pPr>
            <w:r>
              <w:rPr>
                <w:b/>
              </w:rPr>
              <w:t>12.1</w:t>
            </w:r>
          </w:p>
        </w:tc>
        <w:tc>
          <w:tcPr>
            <w:tcW w:w="375" w:type="dxa"/>
            <w:tcBorders/>
            <w:vAlign w:val="bottom"/>
          </w:tcPr>
          <w:p>
            <w:pPr>
              <w:pStyle w:val="TableContents"/>
              <w:bidi w:val="0"/>
              <w:spacing w:before="0" w:after="283"/>
              <w:jc w:val="left"/>
              <w:rPr>
                <w:b/>
              </w:rPr>
            </w:pPr>
            <w:r>
              <w:rPr>
                <w:b/>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12.1</w:t>
            </w:r>
          </w:p>
        </w:tc>
        <w:tc>
          <w:tcPr>
            <w:tcW w:w="3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14.3</w:t>
            </w:r>
          </w:p>
        </w:tc>
        <w:tc>
          <w:tcPr>
            <w:tcW w:w="28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-2.2 pts</w:t>
            </w:r>
          </w:p>
        </w:tc>
        <w:tc>
          <w:tcPr>
            <w:tcW w:w="28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0.0 pts</w:t>
            </w:r>
          </w:p>
        </w:tc>
        <w:tc>
          <w:tcPr>
            <w:tcW w:w="299" w:type="dxa"/>
            <w:tcBorders/>
            <w:vAlign w:val="bottom"/>
          </w:tcPr>
          <w:p>
            <w:pPr>
              <w:pStyle w:val="TableContents"/>
              <w:bidi w:val="0"/>
              <w:spacing w:before="0" w:after="283"/>
              <w:jc w:val="left"/>
              <w:rPr/>
            </w:pPr>
            <w:r>
              <w:rPr/>
              <w:t> </w:t>
            </w:r>
          </w:p>
        </w:tc>
      </w:tr>
      <w:tr>
        <w:trPr/>
        <w:tc>
          <w:tcPr>
            <w:tcW w:w="4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9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b/>
              </w:rPr>
            </w:pPr>
            <w:r>
              <w:rPr>
                <w:b/>
              </w:rPr>
              <w:t>19.74</w:t>
            </w:r>
          </w:p>
        </w:tc>
        <w:tc>
          <w:tcPr>
            <w:tcW w:w="3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13.03</w:t>
            </w:r>
          </w:p>
        </w:tc>
        <w:tc>
          <w:tcPr>
            <w:tcW w:w="3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18.27</w:t>
            </w:r>
          </w:p>
        </w:tc>
        <w:tc>
          <w:tcPr>
            <w:tcW w:w="28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8.0</w:t>
            </w:r>
          </w:p>
        </w:tc>
        <w:tc>
          <w:tcPr>
            <w:tcW w:w="28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51.5</w:t>
            </w:r>
          </w:p>
        </w:tc>
        <w:tc>
          <w:tcPr>
            <w:tcW w:w="299" w:type="dxa"/>
            <w:tcBorders/>
            <w:shd w:fill="CCEEFF" w:val="clear"/>
            <w:vAlign w:val="bottom"/>
          </w:tcPr>
          <w:p>
            <w:pPr>
              <w:pStyle w:val="TableContents"/>
              <w:bidi w:val="0"/>
              <w:spacing w:before="0" w:after="283"/>
              <w:jc w:val="left"/>
              <w:rPr/>
            </w:pPr>
            <w:r>
              <w:rPr/>
              <w:t>% </w:t>
            </w:r>
          </w:p>
        </w:tc>
      </w:tr>
      <w:tr>
        <w:trPr/>
        <w:tc>
          <w:tcPr>
            <w:tcW w:w="4143"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b/>
              </w:rPr>
            </w:pPr>
            <w:r>
              <w:rPr>
                <w:b/>
              </w:rPr>
              <w:t>4.08</w:t>
            </w:r>
          </w:p>
        </w:tc>
        <w:tc>
          <w:tcPr>
            <w:tcW w:w="3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2.68</w:t>
            </w:r>
          </w:p>
        </w:tc>
        <w:tc>
          <w:tcPr>
            <w:tcW w:w="3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3.17</w:t>
            </w:r>
          </w:p>
        </w:tc>
        <w:tc>
          <w:tcPr>
            <w:tcW w:w="28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28.9</w:t>
            </w:r>
          </w:p>
        </w:tc>
        <w:tc>
          <w:tcPr>
            <w:tcW w:w="28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52.2</w:t>
            </w:r>
          </w:p>
        </w:tc>
        <w:tc>
          <w:tcPr>
            <w:tcW w:w="299" w:type="dxa"/>
            <w:tcBorders/>
            <w:vAlign w:val="bottom"/>
          </w:tcPr>
          <w:p>
            <w:pPr>
              <w:pStyle w:val="TableContents"/>
              <w:bidi w:val="0"/>
              <w:spacing w:before="0" w:after="283"/>
              <w:jc w:val="left"/>
              <w:rPr/>
            </w:pPr>
            <w:r>
              <w:rPr/>
              <w:t>% </w:t>
            </w:r>
          </w:p>
        </w:tc>
      </w:tr>
      <w:tr>
        <w:trPr/>
        <w:tc>
          <w:tcPr>
            <w:tcW w:w="4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9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b/>
              </w:rPr>
            </w:pPr>
            <w:r>
              <w:rPr>
                <w:b/>
              </w:rPr>
              <w:t>20.7</w:t>
            </w:r>
          </w:p>
        </w:tc>
        <w:tc>
          <w:tcPr>
            <w:tcW w:w="375" w:type="dxa"/>
            <w:tcBorders/>
            <w:shd w:fill="CCEEFF" w:val="clear"/>
            <w:vAlign w:val="bottom"/>
          </w:tcPr>
          <w:p>
            <w:pPr>
              <w:pStyle w:val="TableContents"/>
              <w:bidi w:val="0"/>
              <w:spacing w:before="0" w:after="283"/>
              <w:jc w:val="left"/>
              <w:rPr>
                <w:b/>
              </w:rPr>
            </w:pPr>
            <w:r>
              <w:rPr>
                <w:b/>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20.6</w:t>
            </w:r>
          </w:p>
        </w:tc>
        <w:tc>
          <w:tcPr>
            <w:tcW w:w="3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17.3</w:t>
            </w:r>
          </w:p>
        </w:tc>
        <w:tc>
          <w:tcPr>
            <w:tcW w:w="28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3.4 pts</w:t>
            </w:r>
          </w:p>
        </w:tc>
        <w:tc>
          <w:tcPr>
            <w:tcW w:w="28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0.1 pts</w:t>
            </w:r>
          </w:p>
        </w:tc>
        <w:tc>
          <w:tcPr>
            <w:tcW w:w="299" w:type="dxa"/>
            <w:tcBorders/>
            <w:shd w:fill="CCEEFF" w:val="clear"/>
            <w:vAlign w:val="bottom"/>
          </w:tcPr>
          <w:p>
            <w:pPr>
              <w:pStyle w:val="TableContents"/>
              <w:bidi w:val="0"/>
              <w:spacing w:before="0" w:after="283"/>
              <w:jc w:val="left"/>
              <w:rPr/>
            </w:pPr>
            <w:r>
              <w:rPr/>
              <w:t> </w:t>
            </w:r>
          </w:p>
        </w:tc>
      </w:tr>
      <w:tr>
        <w:trPr/>
        <w:tc>
          <w:tcPr>
            <w:tcW w:w="414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b/>
              </w:rPr>
            </w:pPr>
            <w:r>
              <w:rPr>
                <w:b/>
              </w:rPr>
              <w:t>1.34</w:t>
            </w:r>
          </w:p>
        </w:tc>
        <w:tc>
          <w:tcPr>
            <w:tcW w:w="3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1.78</w:t>
            </w:r>
          </w:p>
        </w:tc>
        <w:tc>
          <w:tcPr>
            <w:tcW w:w="3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0.48</w:t>
            </w:r>
          </w:p>
        </w:tc>
        <w:tc>
          <w:tcPr>
            <w:tcW w:w="28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179.9</w:t>
            </w:r>
          </w:p>
        </w:tc>
        <w:tc>
          <w:tcPr>
            <w:tcW w:w="28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-25.1</w:t>
            </w:r>
          </w:p>
        </w:tc>
        <w:tc>
          <w:tcPr>
            <w:tcW w:w="299" w:type="dxa"/>
            <w:tcBorders/>
            <w:vAlign w:val="bottom"/>
          </w:tcPr>
          <w:p>
            <w:pPr>
              <w:pStyle w:val="TableContents"/>
              <w:bidi w:val="0"/>
              <w:spacing w:before="0" w:after="283"/>
              <w:jc w:val="left"/>
              <w:rPr/>
            </w:pPr>
            <w:r>
              <w:rPr/>
              <w:t>% </w:t>
            </w:r>
          </w:p>
        </w:tc>
      </w:tr>
      <w:tr>
        <w:trPr/>
        <w:tc>
          <w:tcPr>
            <w:tcW w:w="4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loss</w:t>
            </w:r>
          </w:p>
        </w:tc>
        <w:tc>
          <w:tcPr>
            <w:tcW w:w="19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b/>
              </w:rPr>
            </w:pPr>
            <w:r>
              <w:rPr>
                <w:b/>
              </w:rPr>
              <w:t>1.24</w:t>
            </w:r>
          </w:p>
        </w:tc>
        <w:tc>
          <w:tcPr>
            <w:tcW w:w="3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1.69</w:t>
            </w:r>
          </w:p>
        </w:tc>
        <w:tc>
          <w:tcPr>
            <w:tcW w:w="3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0.39</w:t>
            </w:r>
          </w:p>
        </w:tc>
        <w:tc>
          <w:tcPr>
            <w:tcW w:w="28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221.1</w:t>
            </w:r>
          </w:p>
        </w:tc>
        <w:tc>
          <w:tcPr>
            <w:tcW w:w="28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-26.6</w:t>
            </w:r>
          </w:p>
        </w:tc>
        <w:tc>
          <w:tcPr>
            <w:tcW w:w="299" w:type="dxa"/>
            <w:tcBorders/>
            <w:shd w:fill="CCEEFF" w:val="clear"/>
            <w:vAlign w:val="bottom"/>
          </w:tcPr>
          <w:p>
            <w:pPr>
              <w:pStyle w:val="TableContents"/>
              <w:bidi w:val="0"/>
              <w:spacing w:before="0" w:after="283"/>
              <w:jc w:val="left"/>
              <w:rPr/>
            </w:pPr>
            <w:r>
              <w:rPr/>
              <w:t>% </w:t>
            </w:r>
          </w:p>
        </w:tc>
      </w:tr>
      <w:tr>
        <w:trPr/>
        <w:tc>
          <w:tcPr>
            <w:tcW w:w="414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ordinary shareholders</w:t>
            </w:r>
          </w:p>
        </w:tc>
        <w:tc>
          <w:tcPr>
            <w:tcW w:w="19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b/>
              </w:rPr>
            </w:pPr>
            <w:r>
              <w:rPr>
                <w:b/>
              </w:rPr>
              <w:t>1.34</w:t>
            </w:r>
          </w:p>
        </w:tc>
        <w:tc>
          <w:tcPr>
            <w:tcW w:w="3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1.78</w:t>
            </w:r>
          </w:p>
        </w:tc>
        <w:tc>
          <w:tcPr>
            <w:tcW w:w="3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0.48</w:t>
            </w:r>
          </w:p>
        </w:tc>
        <w:tc>
          <w:tcPr>
            <w:tcW w:w="28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179.9</w:t>
            </w:r>
          </w:p>
        </w:tc>
        <w:tc>
          <w:tcPr>
            <w:tcW w:w="28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-25.1</w:t>
            </w:r>
          </w:p>
        </w:tc>
        <w:tc>
          <w:tcPr>
            <w:tcW w:w="299" w:type="dxa"/>
            <w:tcBorders/>
            <w:vAlign w:val="bottom"/>
          </w:tcPr>
          <w:p>
            <w:pPr>
              <w:pStyle w:val="TableContents"/>
              <w:bidi w:val="0"/>
              <w:spacing w:before="0" w:after="283"/>
              <w:jc w:val="left"/>
              <w:rPr/>
            </w:pPr>
            <w:r>
              <w:rPr/>
              <w:t>% </w:t>
            </w:r>
          </w:p>
        </w:tc>
      </w:tr>
      <w:tr>
        <w:trPr/>
        <w:tc>
          <w:tcPr>
            <w:tcW w:w="4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loss attributable to ordinary shareholders</w:t>
            </w:r>
          </w:p>
        </w:tc>
        <w:tc>
          <w:tcPr>
            <w:tcW w:w="19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b/>
              </w:rPr>
            </w:pPr>
            <w:r>
              <w:rPr>
                <w:b/>
              </w:rPr>
              <w:t>1.24</w:t>
            </w:r>
          </w:p>
        </w:tc>
        <w:tc>
          <w:tcPr>
            <w:tcW w:w="3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1.69</w:t>
            </w:r>
          </w:p>
        </w:tc>
        <w:tc>
          <w:tcPr>
            <w:tcW w:w="3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0.39</w:t>
            </w:r>
          </w:p>
        </w:tc>
        <w:tc>
          <w:tcPr>
            <w:tcW w:w="28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221.1</w:t>
            </w:r>
          </w:p>
        </w:tc>
        <w:tc>
          <w:tcPr>
            <w:tcW w:w="28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-26.6</w:t>
            </w:r>
          </w:p>
        </w:tc>
        <w:tc>
          <w:tcPr>
            <w:tcW w:w="299" w:type="dxa"/>
            <w:tcBorders/>
            <w:shd w:fill="CCEEFF" w:val="clear"/>
            <w:vAlign w:val="bottom"/>
          </w:tcPr>
          <w:p>
            <w:pPr>
              <w:pStyle w:val="TableContents"/>
              <w:bidi w:val="0"/>
              <w:spacing w:before="0" w:after="283"/>
              <w:jc w:val="left"/>
              <w:rPr/>
            </w:pPr>
            <w:r>
              <w:rPr/>
              <w:t>% </w:t>
            </w:r>
          </w:p>
        </w:tc>
      </w:tr>
      <w:tr>
        <w:trPr/>
        <w:tc>
          <w:tcPr>
            <w:tcW w:w="4143"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 attributable to ordinary shareholders</w:t>
            </w:r>
          </w:p>
        </w:tc>
        <w:tc>
          <w:tcPr>
            <w:tcW w:w="19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b/>
              </w:rPr>
            </w:pPr>
            <w:r>
              <w:rPr>
                <w:b/>
              </w:rPr>
              <w:t>1.60</w:t>
            </w:r>
          </w:p>
        </w:tc>
        <w:tc>
          <w:tcPr>
            <w:tcW w:w="3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2.06</w:t>
            </w:r>
          </w:p>
        </w:tc>
        <w:tc>
          <w:tcPr>
            <w:tcW w:w="3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0.49</w:t>
            </w:r>
          </w:p>
        </w:tc>
        <w:tc>
          <w:tcPr>
            <w:tcW w:w="28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223.4</w:t>
            </w:r>
          </w:p>
        </w:tc>
        <w:tc>
          <w:tcPr>
            <w:tcW w:w="28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-22.4</w:t>
            </w:r>
          </w:p>
        </w:tc>
        <w:tc>
          <w:tcPr>
            <w:tcW w:w="299"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vehicle margin and gross margin, where absolute changes instead of percentage changes are presented.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Management Commentary </w:t>
      </w:r>
    </w:p>
    <w:p>
      <w:pPr>
        <w:pStyle w:val="TextBody"/>
        <w:bidi w:val="0"/>
        <w:spacing w:before="120" w:after="0"/>
        <w:jc w:val="left"/>
        <w:rPr/>
      </w:pPr>
      <w:r>
        <w:rPr/>
        <w:t>“</w:t>
      </w:r>
      <w:r>
        <w:rPr>
          <w:rFonts w:ascii="Times New Roman" w:hAnsi="Times New Roman"/>
          <w:sz w:val="20"/>
        </w:rPr>
        <w:t xml:space="preserve">The back-to-back success of the GX and MONA L03 gives us greater confidence in our upcoming new models, as we translate our leading edge in smart technologies and design into more blockbuster products and stronger brand momentum,” said Mr. Xiaopeng He, Chairman and CEO of XPENG. “The development of the mass-production version of XPENG’s humanoid robot has recently reached several significant milestones. I believe XPENG will not only build one of China’s most valuable humanoid robotics companies, but also become a global leader in physical AI, spearheading the large-scale adoption and commercialization of advanced general-purpose humanoid robots and autonomous driving technologies in China and overseas.” </w:t>
      </w:r>
    </w:p>
    <w:p>
      <w:pPr>
        <w:pStyle w:val="TextBody"/>
        <w:bidi w:val="0"/>
        <w:spacing w:before="240" w:after="0"/>
        <w:jc w:val="left"/>
        <w:rPr/>
      </w:pPr>
      <w:r>
        <w:rPr/>
        <w:t>“</w:t>
      </w:r>
      <w:r>
        <w:rPr>
          <w:rFonts w:ascii="Times New Roman" w:hAnsi="Times New Roman"/>
          <w:sz w:val="20"/>
        </w:rPr>
        <w:t xml:space="preserve">During the second quarter of 2026, our operations remained resilient despite industry-wide cost pressures. Driven by breakthroughs in our premiumization and globalization efforts, our gross margin continued to exceed 20%,” added Dr. Hongdi Brian Gu, Vice Chairman and Co-President of XPENG. “I expect the mass production and commercialization of physical AI technologies to accelerate over the coming year, generating meaningful gross profit growth to support our continued R&amp;D investment in physical AI.”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Recent Developments </w:t>
      </w:r>
    </w:p>
    <w:p>
      <w:pPr>
        <w:pStyle w:val="TextBody"/>
        <w:bidi w:val="0"/>
        <w:spacing w:before="120" w:after="0"/>
        <w:jc w:val="left"/>
        <w:rPr>
          <w:rFonts w:ascii="Times New Roman" w:hAnsi="Times New Roman"/>
          <w:b/>
          <w:sz w:val="20"/>
        </w:rPr>
      </w:pPr>
      <w:r>
        <w:rPr>
          <w:rFonts w:ascii="Times New Roman" w:hAnsi="Times New Roman"/>
          <w:b/>
          <w:sz w:val="20"/>
        </w:rPr>
        <w:t xml:space="preserve">Deliveries in July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deliveries were 38,027 vehicles in July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July 31, 2026, year-to-date total deliveries were 204,004 vehicles.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Launch of MONA L03 </w:t>
      </w:r>
    </w:p>
    <w:p>
      <w:pPr>
        <w:pStyle w:val="TextBody"/>
        <w:bidi w:val="0"/>
        <w:spacing w:before="120" w:after="0"/>
        <w:jc w:val="left"/>
        <w:rPr>
          <w:rFonts w:ascii="Times New Roman" w:hAnsi="Times New Roman"/>
          <w:sz w:val="20"/>
        </w:rPr>
      </w:pPr>
      <w:r>
        <w:rPr>
          <w:rFonts w:ascii="Times New Roman" w:hAnsi="Times New Roman"/>
          <w:sz w:val="20"/>
        </w:rPr>
        <w:t xml:space="preserve">On July 16, 2026, XPENG held the global launch event of MONA L03, the Next-Gen AI SUV Coupe, in Munich, Germany. </w:t>
      </w:r>
    </w:p>
    <w:p>
      <w:pPr>
        <w:pStyle w:val="TextBody"/>
        <w:bidi w:val="0"/>
        <w:spacing w:before="360" w:after="0"/>
        <w:jc w:val="left"/>
        <w:rPr>
          <w:rFonts w:ascii="Times New Roman" w:hAnsi="Times New Roman"/>
          <w:b/>
          <w:sz w:val="20"/>
        </w:rPr>
      </w:pPr>
      <w:r>
        <w:rPr>
          <w:rFonts w:ascii="Times New Roman" w:hAnsi="Times New Roman"/>
          <w:b/>
          <w:sz w:val="20"/>
        </w:rPr>
        <w:t xml:space="preserve">Entering into the Dogotix Share Purchase Agreement </w:t>
      </w:r>
    </w:p>
    <w:p>
      <w:pPr>
        <w:pStyle w:val="TextBody"/>
        <w:bidi w:val="0"/>
        <w:spacing w:before="120" w:after="0"/>
        <w:jc w:val="left"/>
        <w:rPr>
          <w:rFonts w:ascii="Times New Roman" w:hAnsi="Times New Roman"/>
          <w:sz w:val="20"/>
        </w:rPr>
      </w:pPr>
      <w:r>
        <w:rPr>
          <w:rFonts w:ascii="Times New Roman" w:hAnsi="Times New Roman"/>
          <w:sz w:val="20"/>
        </w:rPr>
        <w:t>On August 24, 2026, Dogotix Inc. (a subsidiary of the Company) entered into a share purchase agreement (the “</w:t>
      </w:r>
      <w:r>
        <w:rPr>
          <w:rFonts w:ascii="Times New Roman" w:hAnsi="Times New Roman"/>
          <w:b/>
          <w:sz w:val="20"/>
        </w:rPr>
        <w:t>Dogotix Share Purchase Agreement</w:t>
      </w:r>
      <w:r>
        <w:rPr>
          <w:rFonts w:ascii="Times New Roman" w:hAnsi="Times New Roman"/>
          <w:sz w:val="20"/>
        </w:rPr>
        <w:t xml:space="preserve">”) with, among others, certain subscribers, pursuant to which such subscribers conditionally agreed to subscribe for certain shares to be newly issued by Dogotix Inc. at an aggregate purchase price of US$900 million. For details, please refer to the announcement of the Company dated August 24, 2026, in relation to, among others, the Dogotix Share Purchase Agreement.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Unaudited Financial Results for the Three Months Ended June 30, 2026 </w:t>
      </w:r>
    </w:p>
    <w:p>
      <w:pPr>
        <w:pStyle w:val="TextBody"/>
        <w:bidi w:val="0"/>
        <w:spacing w:before="120" w:after="0"/>
        <w:jc w:val="left"/>
        <w:rPr>
          <w:rFonts w:ascii="Times New Roman" w:hAnsi="Times New Roman"/>
          <w:sz w:val="20"/>
        </w:rPr>
      </w:pPr>
      <w:r>
        <w:rPr>
          <w:rFonts w:ascii="Times New Roman" w:hAnsi="Times New Roman"/>
          <w:b/>
          <w:sz w:val="20"/>
        </w:rPr>
        <w:t xml:space="preserve">Total revenues </w:t>
      </w:r>
      <w:r>
        <w:rPr>
          <w:rFonts w:ascii="Times New Roman" w:hAnsi="Times New Roman"/>
          <w:sz w:val="20"/>
        </w:rPr>
        <w:t xml:space="preserve">were RMB19.74 billion (US$2.91 billion) for the second quarter of 2026, representing an increase of 8.0% from RMB18.27 billion for the same period of 2025 and an increase of 51.5% from RMB13.03 billion for the first quarter of 2026. </w:t>
      </w:r>
    </w:p>
    <w:p>
      <w:pPr>
        <w:pStyle w:val="TextBody"/>
        <w:bidi w:val="0"/>
        <w:spacing w:before="240" w:after="0"/>
        <w:jc w:val="left"/>
        <w:rPr>
          <w:rFonts w:ascii="Times New Roman" w:hAnsi="Times New Roman"/>
          <w:sz w:val="20"/>
        </w:rPr>
      </w:pPr>
      <w:r>
        <w:rPr>
          <w:rFonts w:ascii="Times New Roman" w:hAnsi="Times New Roman"/>
          <w:b/>
          <w:sz w:val="20"/>
        </w:rPr>
        <w:t xml:space="preserve">Revenues from vehicle sales </w:t>
      </w:r>
      <w:r>
        <w:rPr>
          <w:rFonts w:ascii="Times New Roman" w:hAnsi="Times New Roman"/>
          <w:sz w:val="20"/>
        </w:rPr>
        <w:t xml:space="preserve">were RMB17.05 billion (US$2.51 billion) for the second quarter of 2026, representing an increase of 1.0% from RMB16.88 billion for the same period of 2025, and an increase of 55.0% from RMB11.00 billion for the first quarter of 2026. The quarter-over-quarter increase was mainly attributable to higher vehicle deliveries. </w:t>
      </w:r>
    </w:p>
    <w:p>
      <w:pPr>
        <w:pStyle w:val="TextBody"/>
        <w:bidi w:val="0"/>
        <w:spacing w:before="240" w:after="0"/>
        <w:jc w:val="left"/>
        <w:rPr>
          <w:rFonts w:ascii="Times New Roman" w:hAnsi="Times New Roman"/>
          <w:sz w:val="20"/>
        </w:rPr>
      </w:pPr>
      <w:r>
        <w:rPr>
          <w:rFonts w:ascii="Times New Roman" w:hAnsi="Times New Roman"/>
          <w:b/>
          <w:sz w:val="20"/>
        </w:rPr>
        <w:t xml:space="preserve">Revenues from services and others </w:t>
      </w:r>
      <w:r>
        <w:rPr>
          <w:rFonts w:ascii="Times New Roman" w:hAnsi="Times New Roman"/>
          <w:sz w:val="20"/>
        </w:rPr>
        <w:t>were RMB2.70 billion (US$0.40 billion) for the second quarter of 2026, representing an increase of 93.9% from RMB1.39 billion for the same period of 2025 and an increase of 32.6% from RMB2.03 billion for the first quarter of 2026. The year-over-year and quarter-over-quarter increases were primarily attributable to increased revenues from (i) technical research and development services (“</w:t>
      </w:r>
      <w:r>
        <w:rPr>
          <w:rFonts w:ascii="Times New Roman" w:hAnsi="Times New Roman"/>
          <w:b/>
          <w:sz w:val="20"/>
        </w:rPr>
        <w:t>technical R&amp;D services</w:t>
      </w:r>
      <w:r>
        <w:rPr>
          <w:rFonts w:ascii="Times New Roman" w:hAnsi="Times New Roman"/>
          <w:sz w:val="20"/>
        </w:rPr>
        <w:t>”) rendered to a car manufacturer (the “</w:t>
      </w:r>
      <w:r>
        <w:rPr>
          <w:rFonts w:ascii="Times New Roman" w:hAnsi="Times New Roman"/>
          <w:b/>
          <w:sz w:val="20"/>
        </w:rPr>
        <w:t>Manufacturer</w:t>
      </w:r>
      <w:r>
        <w:rPr>
          <w:rFonts w:ascii="Times New Roman" w:hAnsi="Times New Roman"/>
          <w:sz w:val="20"/>
        </w:rPr>
        <w:t xml:space="preserve">”) with the successful achievement of certain key milestones in the current period, under the agreement entered into with the Manufacturer; and (ii) parts and accessories sales. </w:t>
      </w:r>
    </w:p>
    <w:p>
      <w:pPr>
        <w:pStyle w:val="TextBody"/>
        <w:bidi w:val="0"/>
        <w:spacing w:before="240" w:after="0"/>
        <w:jc w:val="left"/>
        <w:rPr>
          <w:rFonts w:ascii="Times New Roman" w:hAnsi="Times New Roman"/>
          <w:sz w:val="20"/>
        </w:rPr>
      </w:pPr>
      <w:r>
        <w:rPr>
          <w:rFonts w:ascii="Times New Roman" w:hAnsi="Times New Roman"/>
          <w:b/>
          <w:sz w:val="20"/>
        </w:rPr>
        <w:t xml:space="preserve">Cost of sales </w:t>
      </w:r>
      <w:r>
        <w:rPr>
          <w:rFonts w:ascii="Times New Roman" w:hAnsi="Times New Roman"/>
          <w:sz w:val="20"/>
        </w:rPr>
        <w:t xml:space="preserve">was RMB15.66 billion (US$2.31 billion) for the second quarter of 2026, representing an increase of 3.7% from RMB15.11 billion for the same period of 2025 and an increase of 51.3% from RMB10.35 billion for the first quarter of 2026. The quarter-over-quarter increase was mainly in line with vehicle deliveries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Gross margin </w:t>
      </w:r>
      <w:r>
        <w:rPr>
          <w:rFonts w:ascii="Times New Roman" w:hAnsi="Times New Roman"/>
          <w:sz w:val="20"/>
        </w:rPr>
        <w:t xml:space="preserve">was 20.7% for the second quarter of 2026, compared with 17.3% for the same period of 2025 and 20.6% for the first quarter of 2026. </w:t>
      </w:r>
    </w:p>
    <w:p>
      <w:pPr>
        <w:pStyle w:val="TextBody"/>
        <w:bidi w:val="0"/>
        <w:spacing w:before="240" w:after="0"/>
        <w:jc w:val="left"/>
        <w:rPr>
          <w:rFonts w:ascii="Times New Roman" w:hAnsi="Times New Roman"/>
          <w:sz w:val="20"/>
        </w:rPr>
      </w:pPr>
      <w:r>
        <w:rPr>
          <w:rFonts w:ascii="Times New Roman" w:hAnsi="Times New Roman"/>
          <w:b/>
          <w:sz w:val="20"/>
        </w:rPr>
        <w:t xml:space="preserve">Vehicle margin </w:t>
      </w:r>
      <w:r>
        <w:rPr>
          <w:rFonts w:ascii="Times New Roman" w:hAnsi="Times New Roman"/>
          <w:sz w:val="20"/>
        </w:rPr>
        <w:t xml:space="preserve">was 12.1% for the second quarter of 2026, compared with 14.3% for the same period of 2025 and 12.1% for the first quarter of 2026. The year-over-year decrease was due to product generation transition. </w:t>
      </w:r>
    </w:p>
    <w:p>
      <w:pPr>
        <w:pStyle w:val="TextBody"/>
        <w:bidi w:val="0"/>
        <w:spacing w:before="240" w:after="0"/>
        <w:jc w:val="left"/>
        <w:rPr>
          <w:rFonts w:ascii="Times New Roman" w:hAnsi="Times New Roman"/>
          <w:sz w:val="20"/>
        </w:rPr>
      </w:pPr>
      <w:r>
        <w:rPr>
          <w:rFonts w:ascii="Times New Roman" w:hAnsi="Times New Roman"/>
          <w:b/>
          <w:sz w:val="20"/>
        </w:rPr>
        <w:t xml:space="preserve">Services and others margin </w:t>
      </w:r>
      <w:r>
        <w:rPr>
          <w:rFonts w:ascii="Times New Roman" w:hAnsi="Times New Roman"/>
          <w:sz w:val="20"/>
        </w:rPr>
        <w:t xml:space="preserve">was 75.1% for the second quarter of 2026, compared with 53.6% for the same period of 2025 and 66.5% for the first quarter of 2026. The year-over-year and quarter-over-quarter increases were attributable to the aforementioned revenue from technical R&amp;D services and parts and accessories sales. </w:t>
      </w:r>
    </w:p>
    <w:p>
      <w:pPr>
        <w:pStyle w:val="TextBody"/>
        <w:bidi w:val="0"/>
        <w:spacing w:before="240" w:after="0"/>
        <w:jc w:val="left"/>
        <w:rPr>
          <w:rFonts w:ascii="Times New Roman" w:hAnsi="Times New Roman"/>
          <w:sz w:val="20"/>
        </w:rPr>
      </w:pPr>
      <w:r>
        <w:rPr>
          <w:rFonts w:ascii="Times New Roman" w:hAnsi="Times New Roman"/>
          <w:b/>
          <w:sz w:val="20"/>
        </w:rPr>
        <w:t xml:space="preserve">Research and development expenses </w:t>
      </w:r>
      <w:r>
        <w:rPr>
          <w:rFonts w:ascii="Times New Roman" w:hAnsi="Times New Roman"/>
          <w:sz w:val="20"/>
        </w:rPr>
        <w:t xml:space="preserve">were RMB2.91 billion (US$0.43 billion) for the second quarter of 2026, representing an increase of 32.1% from RMB2.21 billion for the same period of 2025 and an increase of 0.3% from RMB2.91 billion for the first quarter of 2026. The year-over-year increase was mainly due to higher expenses related to the development of new vehicle models and AI-related technologies as the Company expanded its product portfolio to support future growth. </w:t>
      </w:r>
    </w:p>
    <w:p>
      <w:pPr>
        <w:pStyle w:val="TextBody"/>
        <w:bidi w:val="0"/>
        <w:spacing w:before="240" w:after="0"/>
        <w:jc w:val="left"/>
        <w:rPr>
          <w:rFonts w:ascii="Times New Roman" w:hAnsi="Times New Roman"/>
          <w:sz w:val="20"/>
        </w:rPr>
      </w:pPr>
      <w:r>
        <w:rPr>
          <w:rFonts w:ascii="Times New Roman" w:hAnsi="Times New Roman"/>
          <w:b/>
          <w:sz w:val="20"/>
        </w:rPr>
        <w:t xml:space="preserve">Selling, general and administrative expenses </w:t>
      </w:r>
      <w:r>
        <w:rPr>
          <w:rFonts w:ascii="Times New Roman" w:hAnsi="Times New Roman"/>
          <w:sz w:val="20"/>
        </w:rPr>
        <w:t xml:space="preserve">were RMB2.50 billion (US$0.37 billion) for the second quarter of 2026, representing an increase of 15.2% from RMB2.17 billion for the same period of 2025 and an increase of 32.5% from RMB1.88 billion for the first quarter of 2026. The year-over-year increase was primarily due to higher marketing and advertising expenses. The quarter-over-quarter increase was primarily due to the higher commission to the franchised stores and higher marketing and advertising expenses. </w:t>
      </w:r>
    </w:p>
    <w:p>
      <w:pPr>
        <w:pStyle w:val="TextBody"/>
        <w:bidi w:val="0"/>
        <w:spacing w:before="240" w:after="0"/>
        <w:jc w:val="left"/>
        <w:rPr>
          <w:rFonts w:ascii="Times New Roman" w:hAnsi="Times New Roman"/>
          <w:sz w:val="20"/>
        </w:rPr>
      </w:pPr>
      <w:r>
        <w:rPr>
          <w:rFonts w:ascii="Times New Roman" w:hAnsi="Times New Roman"/>
          <w:b/>
          <w:sz w:val="20"/>
        </w:rPr>
        <w:t xml:space="preserve">Other income, net </w:t>
      </w:r>
      <w:r>
        <w:rPr>
          <w:rFonts w:ascii="Times New Roman" w:hAnsi="Times New Roman"/>
          <w:sz w:val="20"/>
        </w:rPr>
        <w:t xml:space="preserve">was RMB0.14 billion (US$0.02 billion) for the second quarter of 2026, representing a decrease of 42.2% from RMB0.24 billion for the same period of 2025 and a decrease of 24.7% from RMB0.18 billion for the first quarter of 2026. The year-over-year and quarter-over-quarter decreases were primarily due to the decrease in receipt of government subsidies. </w:t>
      </w:r>
    </w:p>
    <w:p>
      <w:pPr>
        <w:pStyle w:val="TextBody"/>
        <w:bidi w:val="0"/>
        <w:spacing w:before="240" w:after="0"/>
        <w:jc w:val="left"/>
        <w:rPr>
          <w:rFonts w:ascii="Times New Roman" w:hAnsi="Times New Roman"/>
          <w:sz w:val="20"/>
        </w:rPr>
      </w:pPr>
      <w:r>
        <w:rPr>
          <w:rFonts w:ascii="Times New Roman" w:hAnsi="Times New Roman"/>
          <w:b/>
          <w:sz w:val="20"/>
        </w:rPr>
        <w:t xml:space="preserve">Fair value gain on derivative liability relating to the contingent consideration </w:t>
      </w:r>
      <w:r>
        <w:rPr>
          <w:rFonts w:ascii="Times New Roman" w:hAnsi="Times New Roman"/>
          <w:sz w:val="20"/>
        </w:rPr>
        <w:t>was a gain of RMB0.05 billion (US$0.01 billion) for the second quarter of 2026, compared with a gain of RMB0.03 billion for the same period of 2025 and a gain of RMB0.05 billion for the first quarter of 2026. This non-cash gain resulted from the fair value change of the contingent consideration related to the acquisition of DiDi Global Inc. (“</w:t>
      </w:r>
      <w:r>
        <w:rPr>
          <w:rFonts w:ascii="Times New Roman" w:hAnsi="Times New Roman"/>
          <w:b/>
          <w:sz w:val="20"/>
        </w:rPr>
        <w:t>DiDi</w:t>
      </w:r>
      <w:r>
        <w:rPr>
          <w:rFonts w:ascii="Times New Roman" w:hAnsi="Times New Roman"/>
          <w:sz w:val="20"/>
        </w:rPr>
        <w:t xml:space="preserve">”)’s smart auto business. </w:t>
      </w:r>
    </w:p>
    <w:p>
      <w:pPr>
        <w:pStyle w:val="TextBody"/>
        <w:bidi w:val="0"/>
        <w:spacing w:before="240" w:after="0"/>
        <w:jc w:val="left"/>
        <w:rPr>
          <w:rFonts w:ascii="Times New Roman" w:hAnsi="Times New Roman"/>
          <w:sz w:val="20"/>
        </w:rPr>
      </w:pPr>
      <w:r>
        <w:rPr>
          <w:rFonts w:ascii="Times New Roman" w:hAnsi="Times New Roman"/>
          <w:b/>
          <w:sz w:val="20"/>
        </w:rPr>
        <w:t xml:space="preserve">Loss from operations </w:t>
      </w:r>
      <w:r>
        <w:rPr>
          <w:rFonts w:ascii="Times New Roman" w:hAnsi="Times New Roman"/>
          <w:sz w:val="20"/>
        </w:rPr>
        <w:t xml:space="preserve">was RMB1.14 billion (US$0.17 billion) for the second quarter of 2026, compared with RMB0.93 billion for the same period of 2025 and RMB1.87 billion for the first quarter of 2026. </w:t>
      </w:r>
    </w:p>
    <w:p>
      <w:pPr>
        <w:pStyle w:val="TextBody"/>
        <w:bidi w:val="0"/>
        <w:spacing w:before="240" w:after="0"/>
        <w:jc w:val="left"/>
        <w:rPr>
          <w:rFonts w:ascii="Times New Roman" w:hAnsi="Times New Roman"/>
          <w:sz w:val="20"/>
        </w:rPr>
      </w:pPr>
      <w:r>
        <w:rPr>
          <w:rFonts w:ascii="Times New Roman" w:hAnsi="Times New Roman"/>
          <w:b/>
          <w:sz w:val="20"/>
        </w:rPr>
        <w:t>Non-GAAP loss from operations</w:t>
      </w:r>
      <w:r>
        <w:rPr>
          <w:rFonts w:ascii="Times New Roman" w:hAnsi="Times New Roman"/>
          <w:sz w:val="20"/>
        </w:rPr>
        <w:t xml:space="preserve">, which excludes share-based compensation expenses and fair value gain on derivative liability relating to the contingent consideration, was RMB1.04 billion (US$0.15 billion) for the second quarter of 2026, compared with a loss of RMB0.84 billion for the same period of 2025 and a loss of RMB1.78 billion for the first quarter of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was RMB1.34 billion (US$0.20 billion) for the second quarter of 2026, compared with a loss of RMB0.48 billion for the same period of 2025 and a loss of RMB1.78 billion for the first quarter of 2026. </w:t>
      </w:r>
    </w:p>
    <w:p>
      <w:pPr>
        <w:pStyle w:val="TextBody"/>
        <w:bidi w:val="0"/>
        <w:spacing w:before="240" w:after="0"/>
        <w:jc w:val="left"/>
        <w:rPr>
          <w:rFonts w:ascii="Times New Roman" w:hAnsi="Times New Roman"/>
          <w:sz w:val="20"/>
        </w:rPr>
      </w:pPr>
      <w:r>
        <w:rPr>
          <w:rFonts w:ascii="Times New Roman" w:hAnsi="Times New Roman"/>
          <w:b/>
          <w:sz w:val="20"/>
        </w:rPr>
        <w:t>Non-GAAP net loss</w:t>
      </w:r>
      <w:r>
        <w:rPr>
          <w:rFonts w:ascii="Times New Roman" w:hAnsi="Times New Roman"/>
          <w:sz w:val="20"/>
        </w:rPr>
        <w:t xml:space="preserve">, which excludes share-based compensation expenses and fair value gain on derivative liability relating to the contingent consideration, was RMB1.24 billion (US$0.18 billion) for the second quarter of 2026, compared with a loss of RMB0.39 billion for the same period of 2025 and a loss of RMB1.69 billion for the first quarter of 2026. </w:t>
      </w:r>
    </w:p>
    <w:p>
      <w:pPr>
        <w:pStyle w:val="TextBody"/>
        <w:bidi w:val="0"/>
        <w:spacing w:before="240" w:after="0"/>
        <w:jc w:val="left"/>
        <w:rPr>
          <w:rFonts w:ascii="Times New Roman" w:hAnsi="Times New Roman"/>
          <w:sz w:val="20"/>
        </w:rPr>
      </w:pPr>
      <w:r>
        <w:rPr>
          <w:rFonts w:ascii="Times New Roman" w:hAnsi="Times New Roman"/>
          <w:b/>
          <w:sz w:val="20"/>
        </w:rPr>
        <w:t xml:space="preserve">Net loss attributable to ordinary shareholders of XPENG </w:t>
      </w:r>
      <w:r>
        <w:rPr>
          <w:rFonts w:ascii="Times New Roman" w:hAnsi="Times New Roman"/>
          <w:sz w:val="20"/>
        </w:rPr>
        <w:t xml:space="preserve">was RMB1.34 billion (US$0.20 billion) for the second quarter of 2026, compared with a loss of RMB0.48 billion for the same period of 2025 and a loss of RMB1.78 billion for the first quarter of 2026. </w:t>
      </w:r>
    </w:p>
    <w:p>
      <w:pPr>
        <w:pStyle w:val="TextBody"/>
        <w:bidi w:val="0"/>
        <w:spacing w:before="240" w:after="0"/>
        <w:jc w:val="left"/>
        <w:rPr>
          <w:rFonts w:ascii="Times New Roman" w:hAnsi="Times New Roman"/>
          <w:sz w:val="20"/>
        </w:rPr>
      </w:pPr>
      <w:r>
        <w:rPr>
          <w:rFonts w:ascii="Times New Roman" w:hAnsi="Times New Roman"/>
          <w:b/>
          <w:sz w:val="20"/>
        </w:rPr>
        <w:t>Non-GAAP net loss attributable to ordinary shareholders of XPENG</w:t>
      </w:r>
      <w:r>
        <w:rPr>
          <w:rFonts w:ascii="Times New Roman" w:hAnsi="Times New Roman"/>
          <w:sz w:val="20"/>
        </w:rPr>
        <w:t xml:space="preserve">, which excludes share-based compensation expenses and fair value gain on derivative liability relating to the contingent consideration, was RMB1.24 billion (US$0.18 billion) for the second quarter of 2026, compared with a loss of RMB0.39 billion for the same period of 2025 and a loss of RMB1.69 billion for the first quarter of 2026. </w:t>
      </w:r>
    </w:p>
    <w:p>
      <w:pPr>
        <w:pStyle w:val="TextBody"/>
        <w:bidi w:val="0"/>
        <w:spacing w:before="240" w:after="0"/>
        <w:jc w:val="left"/>
        <w:rPr>
          <w:rFonts w:ascii="Times New Roman" w:hAnsi="Times New Roman"/>
          <w:sz w:val="20"/>
        </w:rPr>
      </w:pPr>
      <w:r>
        <w:rPr>
          <w:rFonts w:ascii="Times New Roman" w:hAnsi="Times New Roman"/>
          <w:b/>
          <w:sz w:val="20"/>
        </w:rPr>
        <w:t xml:space="preserve">Basic and diluted net loss per ADS </w:t>
      </w:r>
      <w:r>
        <w:rPr>
          <w:rFonts w:ascii="Times New Roman" w:hAnsi="Times New Roman"/>
          <w:sz w:val="20"/>
        </w:rPr>
        <w:t xml:space="preserve">were both RMB1.40 (US$0.21) for the second quarter of 2026, compared with RMB0.50 basic and diluted net loss per ADS for the second quarter of 2025 and RMB1.87 basic and diluted net loss per ADS for the first quarter of 2026. </w:t>
      </w:r>
    </w:p>
    <w:p>
      <w:pPr>
        <w:pStyle w:val="TextBody"/>
        <w:bidi w:val="0"/>
        <w:spacing w:before="240" w:after="0"/>
        <w:jc w:val="left"/>
        <w:rPr>
          <w:rFonts w:ascii="Times New Roman" w:hAnsi="Times New Roman"/>
          <w:sz w:val="20"/>
        </w:rPr>
      </w:pPr>
      <w:r>
        <w:rPr>
          <w:rFonts w:ascii="Times New Roman" w:hAnsi="Times New Roman"/>
          <w:b/>
          <w:sz w:val="20"/>
        </w:rPr>
        <w:t xml:space="preserve">Non-GAAP basic and diluted net loss per ADS </w:t>
      </w:r>
      <w:r>
        <w:rPr>
          <w:rFonts w:ascii="Times New Roman" w:hAnsi="Times New Roman"/>
          <w:sz w:val="20"/>
        </w:rPr>
        <w:t xml:space="preserve">were both RMB1.29 (US$0.19) for the second quarter of 2026, compared with RMB0.41 non-GAAP basic and diluted net loss per ADS for the second quarter of 2025 and RMB1.76 non-GAAP basic and diluted net loss per ADS for the first quarter of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Balance Sheets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 had a cash position of RMB40.48 billion (US$5.97 billion), compared with RMB42.09 billion as of March 31,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Business Outlook </w:t>
      </w:r>
    </w:p>
    <w:p>
      <w:pPr>
        <w:pStyle w:val="TextBody"/>
        <w:bidi w:val="0"/>
        <w:spacing w:before="120" w:after="0"/>
        <w:jc w:val="left"/>
        <w:rPr>
          <w:rFonts w:ascii="Times New Roman" w:hAnsi="Times New Roman"/>
          <w:sz w:val="20"/>
        </w:rPr>
      </w:pPr>
      <w:r>
        <w:rPr>
          <w:rFonts w:ascii="Times New Roman" w:hAnsi="Times New Roman"/>
          <w:sz w:val="20"/>
        </w:rPr>
        <w:t xml:space="preserve">For the third quarter of 2026, the Company expects: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Deliveries of vehicles </w:t>
            </w:r>
            <w:r>
              <w:rPr>
                <w:rFonts w:ascii="Times New Roman" w:hAnsi="Times New Roman"/>
                <w:sz w:val="20"/>
              </w:rPr>
              <w:t xml:space="preserve">to be between 115,000 and 121,000, representing a year-over-year change of approximately -0.87% to +4.30%, and a quarter-over-quarter increase of approximately 11.33% to 17.14%.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revenues </w:t>
            </w:r>
            <w:r>
              <w:rPr>
                <w:rFonts w:ascii="Times New Roman" w:hAnsi="Times New Roman"/>
                <w:sz w:val="20"/>
              </w:rPr>
              <w:t xml:space="preserve">to be between RMB21.7 billion and RMB23.4 billion, representing a year-over-year increase of approximately 6.47% to 14.81%, and a quarter-over-quarter increase of approximately 9.91% to 18.52%.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outlook is based on the current market conditions and reflects the Company’s preliminary estimates of market and operating conditions, and customer demand, which are all subject to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will host an earnings conference call at 8:00 AM U.S. Eastern Time on August 24, 2026 (8:00 PM Beijing/Hong Kong Time on August 24, 2026). </w:t>
      </w:r>
    </w:p>
    <w:p>
      <w:pPr>
        <w:pStyle w:val="TextBody"/>
        <w:bidi w:val="0"/>
        <w:spacing w:before="240" w:after="0"/>
        <w:jc w:val="left"/>
        <w:rPr>
          <w:rFonts w:ascii="Times New Roman" w:hAnsi="Times New Roman"/>
          <w:sz w:val="20"/>
        </w:rPr>
      </w:pPr>
      <w:r>
        <w:rPr>
          <w:rFonts w:ascii="Times New Roman" w:hAnsi="Times New Roman"/>
          <w:sz w:val="20"/>
        </w:rPr>
        <w:t xml:space="preserve">For participants who wish to join the call by phone, please access the link provided below to complete the pre-registration process and dial in 5 minutes prior to the scheduled call start time. Upon registration, each participant will receive dial-in details to join the conference call.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0"/>
        <w:gridCol w:w="120"/>
        <w:gridCol w:w="7965"/>
      </w:tblGrid>
      <w:tr>
        <w:trPr/>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2120" w:type="dxa"/>
            <w:tcBorders/>
          </w:tcPr>
          <w:p>
            <w:pPr>
              <w:pStyle w:val="TableContents"/>
              <w:bidi w:val="0"/>
              <w:spacing w:before="0" w:after="283"/>
              <w:jc w:val="left"/>
              <w:rPr/>
            </w:pPr>
            <w:r>
              <w:rPr/>
              <w:t>Event Title:</w:t>
            </w:r>
          </w:p>
        </w:tc>
        <w:tc>
          <w:tcPr>
            <w:tcW w:w="120" w:type="dxa"/>
            <w:tcBorders/>
            <w:vAlign w:val="bottom"/>
          </w:tcPr>
          <w:p>
            <w:pPr>
              <w:pStyle w:val="TableContents"/>
              <w:bidi w:val="0"/>
              <w:spacing w:before="0" w:after="283"/>
              <w:jc w:val="left"/>
              <w:rPr/>
            </w:pPr>
            <w:r>
              <w:rPr/>
              <w:t>  </w:t>
            </w:r>
          </w:p>
        </w:tc>
        <w:tc>
          <w:tcPr>
            <w:tcW w:w="7965" w:type="dxa"/>
            <w:tcBorders/>
          </w:tcPr>
          <w:p>
            <w:pPr>
              <w:pStyle w:val="TableContents"/>
              <w:bidi w:val="0"/>
              <w:spacing w:before="0" w:after="283"/>
              <w:jc w:val="left"/>
              <w:rPr/>
            </w:pPr>
            <w:r>
              <w:rPr/>
              <w:t>XPENG Second Quarter 2026 Earnings Conference Call</w:t>
            </w:r>
          </w:p>
        </w:tc>
      </w:tr>
      <w:tr>
        <w:trPr/>
        <w:tc>
          <w:tcPr>
            <w:tcW w:w="2120" w:type="dxa"/>
            <w:tcBorders/>
          </w:tcPr>
          <w:p>
            <w:pPr>
              <w:pStyle w:val="TableContents"/>
              <w:bidi w:val="0"/>
              <w:spacing w:before="0" w:after="283"/>
              <w:jc w:val="left"/>
              <w:rPr/>
            </w:pPr>
            <w:r>
              <w:rPr/>
              <w:t>Pre-registration link:</w:t>
            </w:r>
          </w:p>
        </w:tc>
        <w:tc>
          <w:tcPr>
            <w:tcW w:w="120" w:type="dxa"/>
            <w:tcBorders/>
            <w:vAlign w:val="bottom"/>
          </w:tcPr>
          <w:p>
            <w:pPr>
              <w:pStyle w:val="TableContents"/>
              <w:bidi w:val="0"/>
              <w:spacing w:before="0" w:after="283"/>
              <w:jc w:val="left"/>
              <w:rPr/>
            </w:pPr>
            <w:r>
              <w:rPr/>
              <w:t>  </w:t>
            </w:r>
          </w:p>
        </w:tc>
        <w:tc>
          <w:tcPr>
            <w:tcW w:w="7965" w:type="dxa"/>
            <w:tcBorders/>
          </w:tcPr>
          <w:p>
            <w:pPr>
              <w:pStyle w:val="TableContents"/>
              <w:bidi w:val="0"/>
              <w:spacing w:before="0" w:after="283"/>
              <w:jc w:val="left"/>
              <w:rPr>
                <w:u w:val="single"/>
              </w:rPr>
            </w:pPr>
            <w:r>
              <w:rPr>
                <w:u w:val="single"/>
              </w:rPr>
              <w:t>https://s1.c-conf.com/diamondpass/10056093-aweri7.html</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 live and archived webcast of the conference call will be available on the Company’s investor relations website at </w:t>
      </w:r>
      <w:r>
        <w:rPr>
          <w:rFonts w:ascii="Times New Roman" w:hAnsi="Times New Roman"/>
          <w:sz w:val="20"/>
          <w:u w:val="single"/>
        </w:rPr>
        <w:t>http://ir.xiaopeng.com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replay of the conference call will be accessible approximately an hour after the conclusion of the call until September 1, 2026, by dialing the following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88"/>
        <w:gridCol w:w="120"/>
        <w:gridCol w:w="7997"/>
      </w:tblGrid>
      <w:tr>
        <w:trPr/>
        <w:tc>
          <w:tcPr>
            <w:tcW w:w="20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97" w:type="dxa"/>
            <w:tcBorders/>
            <w:vAlign w:val="center"/>
          </w:tcPr>
          <w:p>
            <w:pPr>
              <w:pStyle w:val="TableContents"/>
              <w:bidi w:val="0"/>
              <w:spacing w:before="0" w:after="283"/>
              <w:jc w:val="left"/>
              <w:rPr>
                <w:sz w:val="4"/>
                <w:szCs w:val="4"/>
              </w:rPr>
            </w:pPr>
            <w:r>
              <w:rPr>
                <w:sz w:val="4"/>
                <w:szCs w:val="4"/>
              </w:rPr>
            </w:r>
          </w:p>
        </w:tc>
      </w:tr>
      <w:tr>
        <w:trPr/>
        <w:tc>
          <w:tcPr>
            <w:tcW w:w="208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7997" w:type="dxa"/>
            <w:tcBorders/>
          </w:tcPr>
          <w:p>
            <w:pPr>
              <w:pStyle w:val="TableContents"/>
              <w:bidi w:val="0"/>
              <w:spacing w:before="0" w:after="283"/>
              <w:jc w:val="left"/>
              <w:rPr/>
            </w:pPr>
            <w:r>
              <w:rPr/>
              <w:t>+1-855-883-1031</w:t>
            </w:r>
          </w:p>
        </w:tc>
      </w:tr>
      <w:tr>
        <w:trPr/>
        <w:tc>
          <w:tcPr>
            <w:tcW w:w="2088" w:type="dxa"/>
            <w:tcBorders/>
          </w:tcPr>
          <w:p>
            <w:pPr>
              <w:pStyle w:val="TableContents"/>
              <w:bidi w:val="0"/>
              <w:spacing w:before="0" w:after="283"/>
              <w:jc w:val="left"/>
              <w:rPr/>
            </w:pPr>
            <w:r>
              <w:rPr/>
              <w:t>International:</w:t>
            </w:r>
          </w:p>
        </w:tc>
        <w:tc>
          <w:tcPr>
            <w:tcW w:w="120" w:type="dxa"/>
            <w:tcBorders/>
            <w:vAlign w:val="bottom"/>
          </w:tcPr>
          <w:p>
            <w:pPr>
              <w:pStyle w:val="TableContents"/>
              <w:bidi w:val="0"/>
              <w:spacing w:before="0" w:after="283"/>
              <w:jc w:val="left"/>
              <w:rPr/>
            </w:pPr>
            <w:r>
              <w:rPr/>
              <w:t>  </w:t>
            </w:r>
          </w:p>
        </w:tc>
        <w:tc>
          <w:tcPr>
            <w:tcW w:w="7997" w:type="dxa"/>
            <w:tcBorders/>
          </w:tcPr>
          <w:p>
            <w:pPr>
              <w:pStyle w:val="TableContents"/>
              <w:bidi w:val="0"/>
              <w:spacing w:before="0" w:after="283"/>
              <w:jc w:val="left"/>
              <w:rPr/>
            </w:pPr>
            <w:r>
              <w:rPr/>
              <w:t>+61-7-3107-6325</w:t>
            </w:r>
          </w:p>
        </w:tc>
      </w:tr>
      <w:tr>
        <w:trPr/>
        <w:tc>
          <w:tcPr>
            <w:tcW w:w="2088" w:type="dxa"/>
            <w:tcBorders/>
          </w:tcPr>
          <w:p>
            <w:pPr>
              <w:pStyle w:val="TableContents"/>
              <w:bidi w:val="0"/>
              <w:spacing w:before="0" w:after="283"/>
              <w:jc w:val="left"/>
              <w:rPr/>
            </w:pPr>
            <w:r>
              <w:rPr/>
              <w:t>Hong Kong, China:</w:t>
            </w:r>
          </w:p>
        </w:tc>
        <w:tc>
          <w:tcPr>
            <w:tcW w:w="120" w:type="dxa"/>
            <w:tcBorders/>
            <w:vAlign w:val="bottom"/>
          </w:tcPr>
          <w:p>
            <w:pPr>
              <w:pStyle w:val="TableContents"/>
              <w:bidi w:val="0"/>
              <w:spacing w:before="0" w:after="283"/>
              <w:jc w:val="left"/>
              <w:rPr/>
            </w:pPr>
            <w:r>
              <w:rPr/>
              <w:t>  </w:t>
            </w:r>
          </w:p>
        </w:tc>
        <w:tc>
          <w:tcPr>
            <w:tcW w:w="7997" w:type="dxa"/>
            <w:tcBorders/>
          </w:tcPr>
          <w:p>
            <w:pPr>
              <w:pStyle w:val="TableContents"/>
              <w:bidi w:val="0"/>
              <w:spacing w:before="0" w:after="283"/>
              <w:jc w:val="left"/>
              <w:rPr/>
            </w:pPr>
            <w:r>
              <w:rPr/>
              <w:t>800-930-639</w:t>
            </w:r>
          </w:p>
        </w:tc>
      </w:tr>
      <w:tr>
        <w:trPr/>
        <w:tc>
          <w:tcPr>
            <w:tcW w:w="2088" w:type="dxa"/>
            <w:tcBorders/>
          </w:tcPr>
          <w:p>
            <w:pPr>
              <w:pStyle w:val="TableContents"/>
              <w:bidi w:val="0"/>
              <w:spacing w:before="0" w:after="283"/>
              <w:jc w:val="left"/>
              <w:rPr/>
            </w:pPr>
            <w:r>
              <w:rPr/>
              <w:t>Chinese Mainland:</w:t>
            </w:r>
          </w:p>
        </w:tc>
        <w:tc>
          <w:tcPr>
            <w:tcW w:w="120" w:type="dxa"/>
            <w:tcBorders/>
            <w:vAlign w:val="bottom"/>
          </w:tcPr>
          <w:p>
            <w:pPr>
              <w:pStyle w:val="TableContents"/>
              <w:bidi w:val="0"/>
              <w:spacing w:before="0" w:after="283"/>
              <w:jc w:val="left"/>
              <w:rPr/>
            </w:pPr>
            <w:r>
              <w:rPr/>
              <w:t>  </w:t>
            </w:r>
          </w:p>
        </w:tc>
        <w:tc>
          <w:tcPr>
            <w:tcW w:w="7997" w:type="dxa"/>
            <w:tcBorders/>
          </w:tcPr>
          <w:p>
            <w:pPr>
              <w:pStyle w:val="TableContents"/>
              <w:bidi w:val="0"/>
              <w:spacing w:before="0" w:after="283"/>
              <w:jc w:val="left"/>
              <w:rPr/>
            </w:pPr>
            <w:r>
              <w:rPr/>
              <w:t>400-120-9216</w:t>
            </w:r>
          </w:p>
        </w:tc>
      </w:tr>
      <w:tr>
        <w:trPr/>
        <w:tc>
          <w:tcPr>
            <w:tcW w:w="2088" w:type="dxa"/>
            <w:tcBorders/>
          </w:tcPr>
          <w:p>
            <w:pPr>
              <w:pStyle w:val="TableContents"/>
              <w:bidi w:val="0"/>
              <w:spacing w:before="0" w:after="0"/>
              <w:jc w:val="left"/>
              <w:rPr>
                <w:rFonts w:ascii="Times New Roman" w:hAnsi="Times New Roman"/>
                <w:sz w:val="20"/>
              </w:rPr>
            </w:pPr>
            <w:r>
              <w:rPr>
                <w:rFonts w:ascii="Times New Roman" w:hAnsi="Times New Roman"/>
                <w:sz w:val="20"/>
              </w:rPr>
              <w:t>Replay Access Code:</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About XPENG</w:t>
            </w:r>
          </w:p>
        </w:tc>
        <w:tc>
          <w:tcPr>
            <w:tcW w:w="120" w:type="dxa"/>
            <w:tcBorders/>
            <w:vAlign w:val="bottom"/>
          </w:tcPr>
          <w:p>
            <w:pPr>
              <w:pStyle w:val="TableContents"/>
              <w:bidi w:val="0"/>
              <w:spacing w:before="0" w:after="283"/>
              <w:jc w:val="left"/>
              <w:rPr/>
            </w:pPr>
            <w:r>
              <w:rPr/>
              <w:t>  </w:t>
            </w:r>
          </w:p>
        </w:tc>
        <w:tc>
          <w:tcPr>
            <w:tcW w:w="7997" w:type="dxa"/>
            <w:tcBorders/>
          </w:tcPr>
          <w:p>
            <w:pPr>
              <w:pStyle w:val="TableContents"/>
              <w:bidi w:val="0"/>
              <w:spacing w:before="0" w:after="283"/>
              <w:jc w:val="left"/>
              <w:rPr/>
            </w:pPr>
            <w:r>
              <w:rPr/>
              <w:t>10056093</w:t>
            </w:r>
          </w:p>
        </w:tc>
      </w:tr>
    </w:tbl>
    <w:p>
      <w:pPr>
        <w:pStyle w:val="TextBody"/>
        <w:bidi w:val="0"/>
        <w:spacing w:before="240" w:after="0"/>
        <w:jc w:val="left"/>
        <w:rPr>
          <w:rFonts w:ascii="Times New Roman" w:hAnsi="Times New Roman"/>
          <w:sz w:val="20"/>
        </w:rPr>
      </w:pPr>
      <w:r>
        <w:rPr>
          <w:rFonts w:ascii="Times New Roman" w:hAnsi="Times New Roman"/>
          <w:sz w:val="20"/>
        </w:rPr>
        <w:t xml:space="preserve">XPENG is a leading global Physical AI company, dedicated to bringing artificial intelligence into the physical world to reshape future mobility and smart living. Through in-house R&amp;D, XPENG has developed a full-stack Physical AI architecture spanning Turing AI chips, world foundation models, and highly integrated software and hardware applications. This unified technology foundation of XPENG powers an expansive product portfolio of smart EVs, robotaxis, and humanoid robots, advancing the deployment of Physical AI at scale. Headquartered in Guangzhou, China, XPENG is dual-primary listed on the New York Stock Exchange and the Hong Kong Stock Exchange. With global capabilities across R&amp;D, manufacturing, sales, and services, XPENG drives continuous technological innovation and fosters an open Physical AI ecosystem, making life smarter, safer, and better for users worldwide. For more information, please visit </w:t>
      </w:r>
      <w:r>
        <w:rPr>
          <w:rFonts w:ascii="Times New Roman" w:hAnsi="Times New Roman"/>
          <w:sz w:val="20"/>
          <w:u w:val="single"/>
        </w:rPr>
        <w:t>https://www.xpeng.com/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non-GAAP measures, such as non-GAAP loss from operations, non-GAAP net loss, non-GAAP net loss attributable to ordinary shareholders, non-GAAP basic loss per ordinary share and non-GAAP basic loss per ADS, in evaluating its operating results and for financial and operational decision-making purposes. By excluding the impact of share-based compensation expenses and fair value gain on derivative liability relating to the contingent consideration,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 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loss or other consolidated statements of comprehensive loss data prepared in accordance with U.S. GAAP. The Company encourages investors and others to review its financial information in its entirety and not rely on a single financial measure. The Company mitigates these limitations by reconciling the non-GAAP financial measures to the most comparable U.S. GAAP performance measures, all of which should be considered when evaluating the Company’s performance.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the non-GAAP financial measures, please see the table captioned “Unaudited Reconciliations of GAAP and non-GAAP Results” set forth in this announcement.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translations of certain RMB amounts into U.S. dollars at a specified rate solely for the convenience of the reader. Unless otherwise noted, all translations from RMB to U.S. dollars and from U.S. dollars to RMB are made at a rate of RMB6.79 to US$1.00, the exchange rate on June 30, 2026, set forth in the H.10 statistical release of the Federal Reserve Board. The Company makes no representation that the RMB or U.S. dollar amounts referred to could be converted into U.S. dollars or RMB, as the case may be, at any particular rate or at all.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suppliers, third-party service providers, strategic partners and other stakeholders; general economic and business conditions; and assumptions underlying or related to any of the foregoing. Further information regarding these and other risks is included in XPENG’s filings with the United States Securities and Exchange Commission. All information provided in this announcement is as of the date of this announcement, and XPENG does not undertake any obligation to update any forward-looking statement, except as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Investor Enquiries </w:t>
      </w:r>
    </w:p>
    <w:p>
      <w:pPr>
        <w:pStyle w:val="TextBody"/>
        <w:bidi w:val="0"/>
        <w:spacing w:before="0" w:after="0"/>
        <w:jc w:val="left"/>
        <w:rPr>
          <w:rFonts w:ascii="Times New Roman" w:hAnsi="Times New Roman"/>
          <w:sz w:val="20"/>
        </w:rPr>
      </w:pPr>
      <w:r>
        <w:rPr>
          <w:rFonts w:ascii="Times New Roman" w:hAnsi="Times New Roman"/>
          <w:sz w:val="20"/>
        </w:rPr>
        <w:t xml:space="preserve">IR Department </w:t>
      </w:r>
    </w:p>
    <w:p>
      <w:pPr>
        <w:pStyle w:val="TextBody"/>
        <w:bidi w:val="0"/>
        <w:spacing w:before="0" w:after="0"/>
        <w:jc w:val="left"/>
        <w:rPr>
          <w:rFonts w:ascii="Times New Roman" w:hAnsi="Times New Roman"/>
          <w:sz w:val="20"/>
        </w:rPr>
      </w:pPr>
      <w:r>
        <w:rPr>
          <w:rFonts w:ascii="Times New Roman" w:hAnsi="Times New Roman"/>
          <w:sz w:val="20"/>
        </w:rPr>
        <w:t xml:space="preserve">XPeng Inc. </w:t>
      </w:r>
    </w:p>
    <w:p>
      <w:pPr>
        <w:pStyle w:val="TextBody"/>
        <w:bidi w:val="0"/>
        <w:spacing w:before="0" w:after="0"/>
        <w:jc w:val="left"/>
        <w:rPr>
          <w:rFonts w:ascii="Times New Roman" w:hAnsi="Times New Roman"/>
          <w:sz w:val="20"/>
        </w:rPr>
      </w:pPr>
      <w:r>
        <w:rPr>
          <w:rFonts w:ascii="Times New Roman" w:hAnsi="Times New Roman"/>
          <w:sz w:val="20"/>
        </w:rPr>
        <w:t xml:space="preserve">E-mail: ir@xiaopeng.com </w:t>
      </w:r>
    </w:p>
    <w:p>
      <w:pPr>
        <w:pStyle w:val="TextBody"/>
        <w:bidi w:val="0"/>
        <w:spacing w:before="240" w:after="0"/>
        <w:jc w:val="left"/>
        <w:rPr>
          <w:rFonts w:ascii="Times New Roman" w:hAnsi="Times New Roman"/>
          <w:sz w:val="20"/>
        </w:rPr>
      </w:pPr>
      <w:r>
        <w:rPr>
          <w:rFonts w:ascii="Times New Roman" w:hAnsi="Times New Roman"/>
          <w:sz w:val="20"/>
        </w:rPr>
        <w:t xml:space="preserve">Jenny Cai </w:t>
      </w:r>
    </w:p>
    <w:p>
      <w:pPr>
        <w:pStyle w:val="TextBody"/>
        <w:bidi w:val="0"/>
        <w:spacing w:before="0" w:after="0"/>
        <w:jc w:val="left"/>
        <w:rPr>
          <w:rFonts w:ascii="Times New Roman" w:hAnsi="Times New Roman"/>
          <w:sz w:val="20"/>
        </w:rPr>
      </w:pPr>
      <w:r>
        <w:rPr>
          <w:rFonts w:ascii="Times New Roman" w:hAnsi="Times New Roman"/>
          <w:sz w:val="20"/>
        </w:rPr>
        <w:t xml:space="preserve">Piacente Financial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+1-212-481-2050 or +86-10-6508-0677 </w:t>
      </w:r>
    </w:p>
    <w:p>
      <w:pPr>
        <w:pStyle w:val="TextBody"/>
        <w:bidi w:val="0"/>
        <w:spacing w:before="0" w:after="0"/>
        <w:jc w:val="left"/>
        <w:rPr>
          <w:rFonts w:ascii="Times New Roman" w:hAnsi="Times New Roman"/>
          <w:sz w:val="20"/>
        </w:rPr>
      </w:pPr>
      <w:r>
        <w:rPr>
          <w:rFonts w:ascii="Times New Roman" w:hAnsi="Times New Roman"/>
          <w:sz w:val="20"/>
        </w:rPr>
        <w:t xml:space="preserve">E-mail: xpeng@tpg-ir.com </w:t>
      </w:r>
    </w:p>
    <w:p>
      <w:pPr>
        <w:pStyle w:val="TextBody"/>
        <w:bidi w:val="0"/>
        <w:spacing w:before="240" w:after="0"/>
        <w:jc w:val="left"/>
        <w:rPr>
          <w:rFonts w:ascii="Times New Roman" w:hAnsi="Times New Roman"/>
          <w:b/>
          <w:sz w:val="20"/>
        </w:rPr>
      </w:pPr>
      <w:r>
        <w:rPr>
          <w:rFonts w:ascii="Times New Roman" w:hAnsi="Times New Roman"/>
          <w:b/>
          <w:sz w:val="20"/>
        </w:rPr>
        <w:t xml:space="preserve">For Media Enquiries </w:t>
      </w:r>
    </w:p>
    <w:p>
      <w:pPr>
        <w:pStyle w:val="TextBody"/>
        <w:bidi w:val="0"/>
        <w:spacing w:before="0" w:after="0"/>
        <w:jc w:val="left"/>
        <w:rPr>
          <w:rFonts w:ascii="Times New Roman" w:hAnsi="Times New Roman"/>
          <w:sz w:val="20"/>
        </w:rPr>
      </w:pPr>
      <w:r>
        <w:rPr>
          <w:rFonts w:ascii="Times New Roman" w:hAnsi="Times New Roman"/>
          <w:sz w:val="20"/>
        </w:rPr>
        <w:t xml:space="preserve">PR Department </w:t>
      </w:r>
    </w:p>
    <w:p>
      <w:pPr>
        <w:pStyle w:val="TextBody"/>
        <w:bidi w:val="0"/>
        <w:spacing w:before="0" w:after="0"/>
        <w:jc w:val="left"/>
        <w:rPr>
          <w:rFonts w:ascii="Times New Roman" w:hAnsi="Times New Roman"/>
          <w:sz w:val="20"/>
        </w:rPr>
      </w:pPr>
      <w:r>
        <w:rPr>
          <w:rFonts w:ascii="Times New Roman" w:hAnsi="Times New Roman"/>
          <w:sz w:val="20"/>
        </w:rPr>
        <w:t xml:space="preserve">XPeng Inc. </w:t>
      </w:r>
    </w:p>
    <w:p>
      <w:pPr>
        <w:pStyle w:val="TextBody"/>
        <w:bidi w:val="0"/>
        <w:spacing w:before="0" w:after="0"/>
        <w:jc w:val="left"/>
        <w:rPr>
          <w:rFonts w:ascii="Times New Roman" w:hAnsi="Times New Roman"/>
          <w:sz w:val="20"/>
        </w:rPr>
      </w:pPr>
      <w:r>
        <w:rPr>
          <w:rFonts w:ascii="Times New Roman" w:hAnsi="Times New Roman"/>
          <w:sz w:val="20"/>
        </w:rPr>
        <w:t xml:space="preserve">E-mail: pr@xiaopeng.com </w:t>
      </w:r>
    </w:p>
    <w:p>
      <w:pPr>
        <w:pStyle w:val="TextBody"/>
        <w:bidi w:val="0"/>
        <w:spacing w:before="240" w:after="0"/>
        <w:jc w:val="left"/>
        <w:rPr>
          <w:rFonts w:ascii="Times New Roman" w:hAnsi="Times New Roman"/>
          <w:sz w:val="20"/>
        </w:rPr>
      </w:pPr>
      <w:r>
        <w:rPr>
          <w:rFonts w:ascii="Times New Roman" w:hAnsi="Times New Roman"/>
          <w:sz w:val="20"/>
        </w:rPr>
        <w:t xml:space="preserve">Source: XPeng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CONDENSED 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12"/>
        <w:gridCol w:w="138"/>
        <w:gridCol w:w="60"/>
        <w:gridCol w:w="1251"/>
        <w:gridCol w:w="60"/>
        <w:gridCol w:w="138"/>
        <w:gridCol w:w="60"/>
        <w:gridCol w:w="1251"/>
        <w:gridCol w:w="60"/>
        <w:gridCol w:w="138"/>
        <w:gridCol w:w="60"/>
        <w:gridCol w:w="1112"/>
        <w:gridCol w:w="65"/>
      </w:tblGrid>
      <w:tr>
        <w:trPr/>
        <w:tc>
          <w:tcPr>
            <w:tcW w:w="5812"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12"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1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1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US$</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8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17,329,612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14,238,387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2,098,479</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6,071,491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6,924,327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1,020,520</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deposits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11,388,834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7,780,960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1,146,772</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short-term deposits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296,277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1,207,694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177,992</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3,217,293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1,537,877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226,655</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deposits, current portion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3,020,317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4,485,471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661,077</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long-term deposits, current portion</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600,472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Derivative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46,884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6,910</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and notes receivable, net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1,996,917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1,140,279</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168,056</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Installment payment receivables, net, current portion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3,553,054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3,729,175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549,612</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10,380,668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13,729,266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2,023,443</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102,219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165,426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24,381</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 net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5,296,673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6,519,738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960,889</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63,253,827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61,505,484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9,064,786</w:t>
            </w:r>
          </w:p>
        </w:tc>
        <w:tc>
          <w:tcPr>
            <w:tcW w:w="65" w:type="dxa"/>
            <w:tcBorders/>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deposits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4,263,542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2,815,695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414,982</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long-term deposits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1,468,708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1,488,663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219,402</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13,527,237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17,874,208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2,634,332</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 net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3,730,921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1,172,310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172,777</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4,253,168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3,985,127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587,335</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3,216,526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3,475,115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512,169</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Installment payment receivables, net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6,496,020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6,145,671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905,760</w:t>
            </w:r>
          </w:p>
        </w:tc>
        <w:tc>
          <w:tcPr>
            <w:tcW w:w="65" w:type="dxa"/>
            <w:tcBorders/>
            <w:vAlign w:val="bottom"/>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2,523,037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2,708,224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399,143</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429,644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415,819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61,284</w:t>
            </w:r>
          </w:p>
        </w:tc>
        <w:tc>
          <w:tcPr>
            <w:tcW w:w="65" w:type="dxa"/>
            <w:tcBorders/>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39,908,803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40,080,832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5,907,184</w:t>
            </w:r>
          </w:p>
        </w:tc>
        <w:tc>
          <w:tcPr>
            <w:tcW w:w="65" w:type="dxa"/>
            <w:tcBorders/>
            <w:shd w:fill="CCEEFF" w:val="clear"/>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103,162,630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101,586,316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14,971,970</w:t>
            </w:r>
          </w:p>
        </w:tc>
        <w:tc>
          <w:tcPr>
            <w:tcW w:w="65" w:type="dxa"/>
            <w:tcBorders/>
            <w:vAlign w:val="bottom"/>
          </w:tcPr>
          <w:p>
            <w:pPr>
              <w:pStyle w:val="TableContents"/>
              <w:bidi w:val="0"/>
              <w:spacing w:before="0" w:after="283"/>
              <w:jc w:val="left"/>
              <w:rPr/>
            </w:pPr>
            <w:r>
              <w:rPr/>
              <w:t> </w:t>
            </w:r>
          </w:p>
        </w:tc>
      </w:tr>
      <w:tr>
        <w:trPr/>
        <w:tc>
          <w:tcPr>
            <w:tcW w:w="5812"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CONDENSED CONSOLIDATED BALANCE SHEETS (CONTINUED)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04"/>
        <w:gridCol w:w="136"/>
        <w:gridCol w:w="60"/>
        <w:gridCol w:w="1247"/>
        <w:gridCol w:w="157"/>
        <w:gridCol w:w="102"/>
        <w:gridCol w:w="60"/>
        <w:gridCol w:w="1247"/>
        <w:gridCol w:w="157"/>
        <w:gridCol w:w="102"/>
        <w:gridCol w:w="60"/>
        <w:gridCol w:w="1110"/>
        <w:gridCol w:w="163"/>
      </w:tblGrid>
      <w:tr>
        <w:trPr/>
        <w:tc>
          <w:tcPr>
            <w:tcW w:w="560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04"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US$</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56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4,282,000</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10,070,000</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1,484,134</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18,001,675</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15,721,318</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2,317,036</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Notes payable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19,161,724</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13,993,642</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2,062,408</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1,064</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397</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59</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44,682</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65,560</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9,662</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281,009</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199,834</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29,452</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445,901</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305,387</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45,008</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Finance lease liabilities, current portion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55,581</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75,910</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11,188</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current portion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1,463,065</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1,698,642</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250,349</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borrowings, current portion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1,837,950</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706,156</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104,075</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Accruals and other liabilities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12,538,698</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12,468,572</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1,837,640</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0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58,113,349</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55,305,418</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8,151,011</w:t>
            </w:r>
          </w:p>
        </w:tc>
        <w:tc>
          <w:tcPr>
            <w:tcW w:w="163" w:type="dxa"/>
            <w:tcBorders/>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5604" w:type="dxa"/>
            <w:tcBorders/>
          </w:tcPr>
          <w:p>
            <w:pPr>
              <w:pStyle w:val="TableContents"/>
              <w:bidi w:val="0"/>
              <w:spacing w:before="0" w:after="0"/>
              <w:jc w:val="left"/>
              <w:rPr>
                <w:rFonts w:ascii="Times New Roman" w:hAnsi="Times New Roman"/>
                <w:b/>
                <w:sz w:val="20"/>
              </w:rPr>
            </w:pPr>
            <w:r>
              <w:rPr>
                <w:rFonts w:ascii="Times New Roman" w:hAnsi="Times New Roman"/>
                <w:b/>
                <w:sz w:val="20"/>
              </w:rPr>
              <w:t>Long-term borrowings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6,588,865</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8,983,337</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1,323,980</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4,246,599</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2,068,806</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304,904</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740,576</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4,649,369</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685,232</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1,206,014</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1,354,301</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199,599</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330,353</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330,341</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48,686</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1,568,284</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1,885,892</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277,946</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0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14,680,691</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19,272,046</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2,840,347</w:t>
            </w:r>
          </w:p>
        </w:tc>
        <w:tc>
          <w:tcPr>
            <w:tcW w:w="163" w:type="dxa"/>
            <w:tcBorders/>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72,794,040</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74,577,464</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10,991,358</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04"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Class A Ordinary shares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105</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106</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16</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Class B Ordinary shares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21</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21</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3</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71,236,011</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71,532,962</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10,542,654</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Statutory and other reserves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137,720</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161,535</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23,807</w:t>
            </w:r>
          </w:p>
        </w:tc>
        <w:tc>
          <w:tcPr>
            <w:tcW w:w="163" w:type="dxa"/>
            <w:tcBorders/>
            <w:vAlign w:val="bottom"/>
          </w:tcPr>
          <w:p>
            <w:pPr>
              <w:pStyle w:val="TableContents"/>
              <w:bidi w:val="0"/>
              <w:spacing w:before="0" w:after="283"/>
              <w:jc w:val="left"/>
              <w:rPr/>
            </w:pPr>
            <w:r>
              <w:rPr/>
              <w:t> </w:t>
            </w:r>
          </w:p>
        </w:tc>
      </w:tr>
      <w:tr>
        <w:trPr/>
        <w:tc>
          <w:tcPr>
            <w:tcW w:w="56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(42,767,710</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(45,912,689</w:t>
            </w:r>
          </w:p>
        </w:tc>
        <w:tc>
          <w:tcPr>
            <w:tcW w:w="157"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(6,766,693</w:t>
            </w:r>
          </w:p>
        </w:tc>
        <w:tc>
          <w:tcPr>
            <w:tcW w:w="163" w:type="dxa"/>
            <w:tcBorders/>
            <w:shd w:fill="CCEEFF" w:val="clear"/>
            <w:vAlign w:val="bottom"/>
          </w:tcPr>
          <w:p>
            <w:pPr>
              <w:pStyle w:val="TableContents"/>
              <w:bidi w:val="0"/>
              <w:spacing w:before="0" w:after="283"/>
              <w:jc w:val="left"/>
              <w:rPr>
                <w:b/>
              </w:rPr>
            </w:pPr>
            <w:r>
              <w:rPr>
                <w:b/>
              </w:rPr>
              <w:t>) </w:t>
            </w:r>
          </w:p>
        </w:tc>
      </w:tr>
      <w:tr>
        <w:trPr/>
        <w:tc>
          <w:tcPr>
            <w:tcW w:w="56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1,762,443</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1,226,917</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180,825</w:t>
            </w:r>
          </w:p>
        </w:tc>
        <w:tc>
          <w:tcPr>
            <w:tcW w:w="163" w:type="dxa"/>
            <w:tcBorders/>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30,368,590</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27,008,852</w:t>
            </w:r>
          </w:p>
        </w:tc>
        <w:tc>
          <w:tcPr>
            <w:tcW w:w="15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3,980,612</w:t>
            </w:r>
          </w:p>
        </w:tc>
        <w:tc>
          <w:tcPr>
            <w:tcW w:w="163" w:type="dxa"/>
            <w:tcBorders/>
            <w:shd w:fill="CCEEFF" w:val="clear"/>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60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103,162,630</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101,586,316</w:t>
            </w:r>
          </w:p>
        </w:tc>
        <w:tc>
          <w:tcPr>
            <w:tcW w:w="15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14,971,970</w:t>
            </w:r>
          </w:p>
        </w:tc>
        <w:tc>
          <w:tcPr>
            <w:tcW w:w="163" w:type="dxa"/>
            <w:tcBorders/>
            <w:vAlign w:val="bottom"/>
          </w:tcPr>
          <w:p>
            <w:pPr>
              <w:pStyle w:val="TableContents"/>
              <w:bidi w:val="0"/>
              <w:spacing w:before="0" w:after="283"/>
              <w:jc w:val="left"/>
              <w:rPr/>
            </w:pPr>
            <w:r>
              <w:rPr/>
              <w:t> </w:t>
            </w:r>
          </w:p>
        </w:tc>
      </w:tr>
      <w:tr>
        <w:trPr/>
        <w:tc>
          <w:tcPr>
            <w:tcW w:w="5604"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CONDENSED CONSOLIDATED STATEMENTS OF COMPREHENSIVE LOSS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5"/>
        <w:gridCol w:w="138"/>
        <w:gridCol w:w="60"/>
        <w:gridCol w:w="1196"/>
        <w:gridCol w:w="155"/>
        <w:gridCol w:w="97"/>
        <w:gridCol w:w="60"/>
        <w:gridCol w:w="1196"/>
        <w:gridCol w:w="155"/>
        <w:gridCol w:w="97"/>
        <w:gridCol w:w="60"/>
        <w:gridCol w:w="1196"/>
        <w:gridCol w:w="155"/>
        <w:gridCol w:w="96"/>
        <w:gridCol w:w="60"/>
        <w:gridCol w:w="1058"/>
        <w:gridCol w:w="161"/>
      </w:tblGrid>
      <w:tr>
        <w:trPr/>
        <w:tc>
          <w:tcPr>
            <w:tcW w:w="426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641" w:type="dxa"/>
            <w:gridSpan w:val="14"/>
            <w:tcBorders/>
            <w:vAlign w:val="bottom"/>
          </w:tcPr>
          <w:p>
            <w:pPr>
              <w:pStyle w:val="TableContents"/>
              <w:bidi w:val="0"/>
              <w:spacing w:before="0" w:after="283"/>
              <w:jc w:val="center"/>
              <w:rPr>
                <w:b/>
              </w:rPr>
            </w:pPr>
            <w:r>
              <w:rPr>
                <w:b/>
              </w:rPr>
              <w:t>Three Months Ended</w:t>
            </w:r>
          </w:p>
        </w:tc>
        <w:tc>
          <w:tcPr>
            <w:tcW w:w="161"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56"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June 30,</w:t>
            </w:r>
          </w:p>
          <w:p>
            <w:pPr>
              <w:pStyle w:val="TableContents"/>
              <w:bidi w:val="0"/>
              <w:spacing w:before="0" w:after="0"/>
              <w:jc w:val="center"/>
              <w:rPr>
                <w:rFonts w:ascii="Times New Roman" w:hAnsi="Times New Roman"/>
                <w:sz w:val="16"/>
              </w:rPr>
            </w:pPr>
            <w:r>
              <w:rPr>
                <w:rFonts w:ascii="Times New Roman" w:hAnsi="Times New Roman"/>
                <w:sz w:val="16"/>
              </w:rPr>
              <w:t xml:space="preserve">2025 </w:t>
            </w:r>
          </w:p>
          <w:p>
            <w:pPr>
              <w:pStyle w:val="TableContents"/>
              <w:bidi w:val="0"/>
              <w:spacing w:before="0" w:after="20"/>
              <w:jc w:val="center"/>
              <w:rPr>
                <w:rFonts w:ascii="Times New Roman" w:hAnsi="Times New Roman"/>
                <w:i/>
                <w:sz w:val="16"/>
              </w:rPr>
            </w:pPr>
            <w:r>
              <w:rPr>
                <w:rFonts w:ascii="Times New Roman" w:hAnsi="Times New Roman"/>
                <w:i/>
                <w:sz w:val="16"/>
              </w:rPr>
              <w:t>RMB</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56"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March 31,</w:t>
              <w:br/>
              <w:t>2026</w:t>
            </w:r>
          </w:p>
          <w:p>
            <w:pPr>
              <w:pStyle w:val="TableContents"/>
              <w:bidi w:val="0"/>
              <w:spacing w:before="0" w:after="20"/>
              <w:jc w:val="center"/>
              <w:rPr>
                <w:rFonts w:ascii="Times New Roman" w:hAnsi="Times New Roman"/>
                <w:i/>
                <w:sz w:val="16"/>
              </w:rPr>
            </w:pPr>
            <w:r>
              <w:rPr>
                <w:rFonts w:ascii="Times New Roman" w:hAnsi="Times New Roman"/>
                <w:i/>
                <w:sz w:val="16"/>
              </w:rPr>
              <w:t>RMB</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56"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br/>
              <w:t>2026</w:t>
            </w:r>
          </w:p>
          <w:p>
            <w:pPr>
              <w:pStyle w:val="TableContents"/>
              <w:bidi w:val="0"/>
              <w:spacing w:before="0" w:after="20"/>
              <w:jc w:val="center"/>
              <w:rPr>
                <w:rFonts w:ascii="Times New Roman" w:hAnsi="Times New Roman"/>
                <w:b/>
                <w:i/>
                <w:sz w:val="16"/>
              </w:rPr>
            </w:pPr>
            <w:r>
              <w:rPr>
                <w:rFonts w:ascii="Times New Roman" w:hAnsi="Times New Roman"/>
                <w:b/>
                <w:i/>
                <w:sz w:val="16"/>
              </w:rPr>
              <w:t>US$</w:t>
            </w:r>
          </w:p>
        </w:tc>
        <w:tc>
          <w:tcPr>
            <w:tcW w:w="161" w:type="dxa"/>
            <w:tcBorders/>
            <w:vAlign w:val="bottom"/>
          </w:tcPr>
          <w:p>
            <w:pPr>
              <w:pStyle w:val="TableContents"/>
              <w:bidi w:val="0"/>
              <w:spacing w:before="0" w:after="283"/>
              <w:jc w:val="left"/>
              <w:rPr/>
            </w:pPr>
            <w:r>
              <w:rPr/>
              <w:t> </w:t>
            </w:r>
          </w:p>
        </w:tc>
      </w:tr>
      <w:tr>
        <w:trPr/>
        <w:tc>
          <w:tcPr>
            <w:tcW w:w="42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265" w:type="dxa"/>
            <w:tcBorders/>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16,883,696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10,999,321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17,046,476</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2,512,340</w:t>
            </w:r>
          </w:p>
        </w:tc>
        <w:tc>
          <w:tcPr>
            <w:tcW w:w="161" w:type="dxa"/>
            <w:tcBorders/>
            <w:vAlign w:val="bottom"/>
          </w:tcPr>
          <w:p>
            <w:pPr>
              <w:pStyle w:val="TableContents"/>
              <w:bidi w:val="0"/>
              <w:spacing w:before="0" w:after="283"/>
              <w:jc w:val="left"/>
              <w:rPr/>
            </w:pPr>
            <w:r>
              <w:rPr/>
              <w:t> </w:t>
            </w:r>
          </w:p>
        </w:tc>
      </w:tr>
      <w:tr>
        <w:trPr/>
        <w:tc>
          <w:tcPr>
            <w:tcW w:w="4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1,390,709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2,034,460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2,697,117</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397,506</w:t>
            </w:r>
          </w:p>
        </w:tc>
        <w:tc>
          <w:tcPr>
            <w:tcW w:w="161"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18,274,405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13,033,781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19,743,593</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2,909,846</w:t>
            </w:r>
          </w:p>
        </w:tc>
        <w:tc>
          <w:tcPr>
            <w:tcW w:w="161"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0044" w:type="dxa"/>
            <w:gridSpan w:val="16"/>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sales</w:t>
            </w:r>
          </w:p>
        </w:tc>
        <w:tc>
          <w:tcPr>
            <w:tcW w:w="161" w:type="dxa"/>
            <w:tcBorders/>
            <w:shd w:fill="CCEEFF" w:val="clear"/>
          </w:tcPr>
          <w:p>
            <w:pPr>
              <w:pStyle w:val="TableContents"/>
              <w:bidi w:val="0"/>
              <w:spacing w:before="0" w:after="0"/>
              <w:jc w:val="left"/>
              <w:rPr/>
            </w:pPr>
            <w:r>
              <w:rPr/>
              <w:t> </w:t>
            </w:r>
          </w:p>
        </w:tc>
      </w:tr>
      <w:tr>
        <w:trPr/>
        <w:tc>
          <w:tcPr>
            <w:tcW w:w="4265" w:type="dxa"/>
            <w:tcBorders/>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(14,461,688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(9,669,451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(14,987,590</w:t>
            </w:r>
          </w:p>
        </w:tc>
        <w:tc>
          <w:tcPr>
            <w:tcW w:w="155"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(2,208,897</w:t>
            </w:r>
          </w:p>
        </w:tc>
        <w:tc>
          <w:tcPr>
            <w:tcW w:w="161" w:type="dxa"/>
            <w:tcBorders/>
            <w:vAlign w:val="bottom"/>
          </w:tcPr>
          <w:p>
            <w:pPr>
              <w:pStyle w:val="TableContents"/>
              <w:bidi w:val="0"/>
              <w:spacing w:before="0" w:after="283"/>
              <w:jc w:val="left"/>
              <w:rPr>
                <w:b/>
              </w:rPr>
            </w:pPr>
            <w:r>
              <w:rPr>
                <w:b/>
              </w:rPr>
              <w:t>) </w:t>
            </w:r>
          </w:p>
        </w:tc>
      </w:tr>
      <w:tr>
        <w:trPr/>
        <w:tc>
          <w:tcPr>
            <w:tcW w:w="4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(645,387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(681,737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(672,521</w:t>
            </w:r>
          </w:p>
        </w:tc>
        <w:tc>
          <w:tcPr>
            <w:tcW w:w="155" w:type="dxa"/>
            <w:tcBorders/>
            <w:shd w:fill="CCEEFF" w:val="clear"/>
            <w:vAlign w:val="bottom"/>
          </w:tcPr>
          <w:p>
            <w:pPr>
              <w:pStyle w:val="TableContents"/>
              <w:bidi w:val="0"/>
              <w:spacing w:before="0" w:after="283"/>
              <w:jc w:val="left"/>
              <w:rPr>
                <w:b/>
              </w:rPr>
            </w:pPr>
            <w:r>
              <w:rPr>
                <w:b/>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(99,117</w:t>
            </w:r>
          </w:p>
        </w:tc>
        <w:tc>
          <w:tcPr>
            <w:tcW w:w="161" w:type="dxa"/>
            <w:tcBorders/>
            <w:shd w:fill="CCEEFF" w:val="clear"/>
            <w:vAlign w:val="bottom"/>
          </w:tcPr>
          <w:p>
            <w:pPr>
              <w:pStyle w:val="TableContents"/>
              <w:bidi w:val="0"/>
              <w:spacing w:before="0" w:after="283"/>
              <w:jc w:val="left"/>
              <w:rPr>
                <w:b/>
              </w:rPr>
            </w:pPr>
            <w:r>
              <w:rPr>
                <w:b/>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cost of sales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(15,107,075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(10,351,188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(15,660,111</w:t>
            </w:r>
          </w:p>
        </w:tc>
        <w:tc>
          <w:tcPr>
            <w:tcW w:w="155"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(2,308,014</w:t>
            </w:r>
          </w:p>
        </w:tc>
        <w:tc>
          <w:tcPr>
            <w:tcW w:w="161" w:type="dxa"/>
            <w:tcBorders/>
            <w:vAlign w:val="bottom"/>
          </w:tcPr>
          <w:p>
            <w:pPr>
              <w:pStyle w:val="TableContents"/>
              <w:bidi w:val="0"/>
              <w:spacing w:before="0" w:after="283"/>
              <w:jc w:val="left"/>
              <w:rPr>
                <w:b/>
              </w:rPr>
            </w:pPr>
            <w:r>
              <w:rPr>
                <w:b/>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3,167,330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2,682,593</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4,083,482</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601,832</w:t>
            </w:r>
          </w:p>
        </w:tc>
        <w:tc>
          <w:tcPr>
            <w:tcW w:w="161"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(2,206,144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(2,906,991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(2,914,440</w:t>
            </w:r>
          </w:p>
        </w:tc>
        <w:tc>
          <w:tcPr>
            <w:tcW w:w="155" w:type="dxa"/>
            <w:tcBorders/>
            <w:shd w:fill="CCEEFF" w:val="clear"/>
            <w:vAlign w:val="bottom"/>
          </w:tcPr>
          <w:p>
            <w:pPr>
              <w:pStyle w:val="TableContents"/>
              <w:bidi w:val="0"/>
              <w:spacing w:before="0" w:after="283"/>
              <w:jc w:val="left"/>
              <w:rPr>
                <w:b/>
              </w:rPr>
            </w:pPr>
            <w:r>
              <w:rPr>
                <w:b/>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(429,535</w:t>
            </w:r>
          </w:p>
        </w:tc>
        <w:tc>
          <w:tcPr>
            <w:tcW w:w="161" w:type="dxa"/>
            <w:tcBorders/>
            <w:shd w:fill="CCEEFF" w:val="clear"/>
            <w:vAlign w:val="bottom"/>
          </w:tcPr>
          <w:p>
            <w:pPr>
              <w:pStyle w:val="TableContents"/>
              <w:bidi w:val="0"/>
              <w:spacing w:before="0" w:after="283"/>
              <w:jc w:val="left"/>
              <w:rPr>
                <w:b/>
              </w:rPr>
            </w:pPr>
            <w:r>
              <w:rPr>
                <w:b/>
              </w:rPr>
              <w:t>) </w:t>
            </w:r>
          </w:p>
        </w:tc>
      </w:tr>
      <w:tr>
        <w:trPr/>
        <w:tc>
          <w:tcPr>
            <w:tcW w:w="426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(2,167,241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(1,883,438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(2,496,484</w:t>
            </w:r>
          </w:p>
        </w:tc>
        <w:tc>
          <w:tcPr>
            <w:tcW w:w="155"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(367,936</w:t>
            </w:r>
          </w:p>
        </w:tc>
        <w:tc>
          <w:tcPr>
            <w:tcW w:w="161" w:type="dxa"/>
            <w:tcBorders/>
            <w:vAlign w:val="bottom"/>
          </w:tcPr>
          <w:p>
            <w:pPr>
              <w:pStyle w:val="TableContents"/>
              <w:bidi w:val="0"/>
              <w:spacing w:before="0" w:after="283"/>
              <w:jc w:val="left"/>
              <w:rPr>
                <w:b/>
              </w:rPr>
            </w:pPr>
            <w:r>
              <w:rPr>
                <w:b/>
              </w:rPr>
              <w:t>) </w:t>
            </w:r>
          </w:p>
        </w:tc>
      </w:tr>
      <w:tr>
        <w:trPr/>
        <w:tc>
          <w:tcPr>
            <w:tcW w:w="4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237,402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182,249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137,250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20,228</w:t>
            </w:r>
          </w:p>
        </w:tc>
        <w:tc>
          <w:tcPr>
            <w:tcW w:w="161" w:type="dxa"/>
            <w:tcBorders/>
            <w:shd w:fill="CCEEFF" w:val="clear"/>
            <w:vAlign w:val="bottom"/>
          </w:tcPr>
          <w:p>
            <w:pPr>
              <w:pStyle w:val="TableContents"/>
              <w:bidi w:val="0"/>
              <w:spacing w:before="0" w:after="283"/>
              <w:jc w:val="left"/>
              <w:rPr/>
            </w:pPr>
            <w:r>
              <w:rPr/>
              <w:t> </w:t>
            </w:r>
          </w:p>
        </w:tc>
      </w:tr>
      <w:tr>
        <w:trPr/>
        <w:tc>
          <w:tcPr>
            <w:tcW w:w="426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 on derivative liability relating to the contingent consideration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34,004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51,113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47,662</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7,025</w:t>
            </w:r>
          </w:p>
        </w:tc>
        <w:tc>
          <w:tcPr>
            <w:tcW w:w="161"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 net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(4,101,979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(4,557,067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(5,226,012</w:t>
            </w:r>
          </w:p>
        </w:tc>
        <w:tc>
          <w:tcPr>
            <w:tcW w:w="155" w:type="dxa"/>
            <w:tcBorders/>
            <w:shd w:fill="CCEEFF" w:val="clear"/>
            <w:vAlign w:val="bottom"/>
          </w:tcPr>
          <w:p>
            <w:pPr>
              <w:pStyle w:val="TableContents"/>
              <w:bidi w:val="0"/>
              <w:spacing w:before="0" w:after="283"/>
              <w:jc w:val="left"/>
              <w:rPr>
                <w:b/>
              </w:rPr>
            </w:pPr>
            <w:r>
              <w:rPr>
                <w:b/>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(770,218</w:t>
            </w:r>
          </w:p>
        </w:tc>
        <w:tc>
          <w:tcPr>
            <w:tcW w:w="161" w:type="dxa"/>
            <w:tcBorders/>
            <w:shd w:fill="CCEEFF" w:val="clear"/>
            <w:vAlign w:val="bottom"/>
          </w:tcPr>
          <w:p>
            <w:pPr>
              <w:pStyle w:val="TableContents"/>
              <w:bidi w:val="0"/>
              <w:spacing w:before="0" w:after="283"/>
              <w:jc w:val="left"/>
              <w:rPr>
                <w:b/>
              </w:rPr>
            </w:pPr>
            <w:r>
              <w:rPr>
                <w:b/>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(934,649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(1,874,474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(1,142,530</w:t>
            </w:r>
          </w:p>
        </w:tc>
        <w:tc>
          <w:tcPr>
            <w:tcW w:w="155"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(168,386</w:t>
            </w:r>
          </w:p>
        </w:tc>
        <w:tc>
          <w:tcPr>
            <w:tcW w:w="161" w:type="dxa"/>
            <w:tcBorders/>
            <w:vAlign w:val="bottom"/>
          </w:tcPr>
          <w:p>
            <w:pPr>
              <w:pStyle w:val="TableContents"/>
              <w:bidi w:val="0"/>
              <w:spacing w:before="0" w:after="283"/>
              <w:jc w:val="left"/>
              <w:rPr>
                <w:b/>
              </w:rPr>
            </w:pPr>
            <w:r>
              <w:rPr>
                <w:b/>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308,224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257,166</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216,746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31,944</w:t>
            </w:r>
          </w:p>
        </w:tc>
        <w:tc>
          <w:tcPr>
            <w:tcW w:w="161"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(75,161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(164,994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(124,473</w:t>
            </w:r>
          </w:p>
        </w:tc>
        <w:tc>
          <w:tcPr>
            <w:tcW w:w="155"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(18,345</w:t>
            </w:r>
          </w:p>
        </w:tc>
        <w:tc>
          <w:tcPr>
            <w:tcW w:w="161" w:type="dxa"/>
            <w:tcBorders/>
            <w:vAlign w:val="bottom"/>
          </w:tcPr>
          <w:p>
            <w:pPr>
              <w:pStyle w:val="TableContents"/>
              <w:bidi w:val="0"/>
              <w:spacing w:before="0" w:after="283"/>
              <w:jc w:val="left"/>
              <w:rPr>
                <w:b/>
              </w:rPr>
            </w:pPr>
            <w:r>
              <w:rPr>
                <w:b/>
              </w:rPr>
              <w:t>) </w:t>
            </w:r>
          </w:p>
        </w:tc>
      </w:tr>
      <w:tr>
        <w:trPr/>
        <w:tc>
          <w:tcPr>
            <w:tcW w:w="42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Fair value (loss) gain on derivative assets or derivative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36,969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5,449</w:t>
            </w:r>
          </w:p>
        </w:tc>
        <w:tc>
          <w:tcPr>
            <w:tcW w:w="161"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gain (loss) on long-term investments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24,401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169,117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(140,377</w:t>
            </w:r>
          </w:p>
        </w:tc>
        <w:tc>
          <w:tcPr>
            <w:tcW w:w="155"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(20,689</w:t>
            </w:r>
          </w:p>
        </w:tc>
        <w:tc>
          <w:tcPr>
            <w:tcW w:w="161" w:type="dxa"/>
            <w:tcBorders/>
            <w:vAlign w:val="bottom"/>
          </w:tcPr>
          <w:p>
            <w:pPr>
              <w:pStyle w:val="TableContents"/>
              <w:bidi w:val="0"/>
              <w:spacing w:before="0" w:after="283"/>
              <w:jc w:val="left"/>
              <w:rPr>
                <w:b/>
              </w:rPr>
            </w:pPr>
            <w:r>
              <w:rPr>
                <w:b/>
              </w:rPr>
              <w:t>) </w:t>
            </w:r>
          </w:p>
        </w:tc>
      </w:tr>
      <w:tr>
        <w:trPr/>
        <w:tc>
          <w:tcPr>
            <w:tcW w:w="42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Exchange gain (loss) from foreign currency transactions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142,684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(148,728</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(125,295</w:t>
            </w:r>
          </w:p>
        </w:tc>
        <w:tc>
          <w:tcPr>
            <w:tcW w:w="155" w:type="dxa"/>
            <w:tcBorders/>
            <w:shd w:fill="CCEEFF" w:val="clear"/>
            <w:vAlign w:val="bottom"/>
          </w:tcPr>
          <w:p>
            <w:pPr>
              <w:pStyle w:val="TableContents"/>
              <w:bidi w:val="0"/>
              <w:spacing w:before="0" w:after="283"/>
              <w:jc w:val="left"/>
              <w:rPr>
                <w:b/>
              </w:rPr>
            </w:pPr>
            <w:r>
              <w:rPr>
                <w:b/>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(18,466</w:t>
            </w:r>
          </w:p>
        </w:tc>
        <w:tc>
          <w:tcPr>
            <w:tcW w:w="161" w:type="dxa"/>
            <w:tcBorders/>
            <w:shd w:fill="CCEEFF" w:val="clear"/>
            <w:vAlign w:val="bottom"/>
          </w:tcPr>
          <w:p>
            <w:pPr>
              <w:pStyle w:val="TableContents"/>
              <w:bidi w:val="0"/>
              <w:spacing w:before="0" w:after="283"/>
              <w:jc w:val="left"/>
              <w:rPr>
                <w:b/>
              </w:rPr>
            </w:pPr>
            <w:r>
              <w:rPr>
                <w:b/>
              </w:rPr>
              <w:t>) </w:t>
            </w:r>
          </w:p>
        </w:tc>
      </w:tr>
      <w:tr>
        <w:trPr/>
        <w:tc>
          <w:tcPr>
            <w:tcW w:w="42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(expenses), net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3,454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(959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12,401</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1,828</w:t>
            </w:r>
          </w:p>
        </w:tc>
        <w:tc>
          <w:tcPr>
            <w:tcW w:w="161"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 benefit (expenses) and share of results of equity method investees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(531,047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(1,762,973</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(1,266,559</w:t>
            </w:r>
          </w:p>
        </w:tc>
        <w:tc>
          <w:tcPr>
            <w:tcW w:w="155" w:type="dxa"/>
            <w:tcBorders/>
            <w:shd w:fill="CCEEFF" w:val="clear"/>
            <w:vAlign w:val="bottom"/>
          </w:tcPr>
          <w:p>
            <w:pPr>
              <w:pStyle w:val="TableContents"/>
              <w:bidi w:val="0"/>
              <w:spacing w:before="0" w:after="283"/>
              <w:jc w:val="left"/>
              <w:rPr>
                <w:b/>
              </w:rPr>
            </w:pPr>
            <w:r>
              <w:rPr>
                <w:b/>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(186,665</w:t>
            </w:r>
          </w:p>
        </w:tc>
        <w:tc>
          <w:tcPr>
            <w:tcW w:w="161" w:type="dxa"/>
            <w:tcBorders/>
            <w:shd w:fill="CCEEFF" w:val="clear"/>
            <w:vAlign w:val="bottom"/>
          </w:tcPr>
          <w:p>
            <w:pPr>
              <w:pStyle w:val="TableContents"/>
              <w:bidi w:val="0"/>
              <w:spacing w:before="0" w:after="283"/>
              <w:jc w:val="left"/>
              <w:rPr>
                <w:b/>
              </w:rPr>
            </w:pPr>
            <w:r>
              <w:rPr>
                <w:b/>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benefit (expenses)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9,421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(9,251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(74,281</w:t>
            </w:r>
          </w:p>
        </w:tc>
        <w:tc>
          <w:tcPr>
            <w:tcW w:w="155"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(10,948</w:t>
            </w:r>
          </w:p>
        </w:tc>
        <w:tc>
          <w:tcPr>
            <w:tcW w:w="161" w:type="dxa"/>
            <w:tcBorders/>
            <w:vAlign w:val="bottom"/>
          </w:tcPr>
          <w:p>
            <w:pPr>
              <w:pStyle w:val="TableContents"/>
              <w:bidi w:val="0"/>
              <w:spacing w:before="0" w:after="283"/>
              <w:jc w:val="left"/>
              <w:rPr>
                <w:b/>
              </w:rPr>
            </w:pPr>
            <w:r>
              <w:rPr>
                <w:b/>
              </w:rPr>
              <w:t>) </w:t>
            </w:r>
          </w:p>
        </w:tc>
      </w:tr>
      <w:tr>
        <w:trPr/>
        <w:tc>
          <w:tcPr>
            <w:tcW w:w="42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investees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43,872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(11,876</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3,776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557</w:t>
            </w:r>
          </w:p>
        </w:tc>
        <w:tc>
          <w:tcPr>
            <w:tcW w:w="161"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(477,754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(1,784,100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(1,337,064</w:t>
            </w:r>
          </w:p>
        </w:tc>
        <w:tc>
          <w:tcPr>
            <w:tcW w:w="155"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(197,056</w:t>
            </w:r>
          </w:p>
        </w:tc>
        <w:tc>
          <w:tcPr>
            <w:tcW w:w="161" w:type="dxa"/>
            <w:tcBorders/>
            <w:vAlign w:val="bottom"/>
          </w:tcPr>
          <w:p>
            <w:pPr>
              <w:pStyle w:val="TableContents"/>
              <w:bidi w:val="0"/>
              <w:spacing w:before="0" w:after="283"/>
              <w:jc w:val="left"/>
              <w:rPr>
                <w:b/>
              </w:rPr>
            </w:pPr>
            <w:r>
              <w:rPr>
                <w:b/>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ordinary shareholders of XPeng Inc.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(477,754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(1,784,100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(1,337,064</w:t>
            </w:r>
          </w:p>
        </w:tc>
        <w:tc>
          <w:tcPr>
            <w:tcW w:w="155" w:type="dxa"/>
            <w:tcBorders/>
            <w:shd w:fill="CCEEFF" w:val="clear"/>
            <w:vAlign w:val="bottom"/>
          </w:tcPr>
          <w:p>
            <w:pPr>
              <w:pStyle w:val="TableContents"/>
              <w:bidi w:val="0"/>
              <w:spacing w:before="0" w:after="283"/>
              <w:jc w:val="left"/>
              <w:rPr>
                <w:b/>
              </w:rPr>
            </w:pPr>
            <w:r>
              <w:rPr>
                <w:b/>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(197,056</w:t>
            </w:r>
          </w:p>
        </w:tc>
        <w:tc>
          <w:tcPr>
            <w:tcW w:w="161" w:type="dxa"/>
            <w:tcBorders/>
            <w:shd w:fill="CCEEFF" w:val="clear"/>
            <w:vAlign w:val="bottom"/>
          </w:tcPr>
          <w:p>
            <w:pPr>
              <w:pStyle w:val="TableContents"/>
              <w:bidi w:val="0"/>
              <w:spacing w:before="0" w:after="283"/>
              <w:jc w:val="left"/>
              <w:rPr>
                <w:b/>
              </w:rPr>
            </w:pPr>
            <w:r>
              <w:rPr>
                <w:b/>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CONDENSED CONSOLIDATED STATEMENTS OF COMPREHENSIVE LOSS (CONTINUED)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7"/>
        <w:gridCol w:w="130"/>
        <w:gridCol w:w="60"/>
        <w:gridCol w:w="1400"/>
        <w:gridCol w:w="155"/>
        <w:gridCol w:w="88"/>
        <w:gridCol w:w="60"/>
        <w:gridCol w:w="1400"/>
        <w:gridCol w:w="155"/>
        <w:gridCol w:w="88"/>
        <w:gridCol w:w="60"/>
        <w:gridCol w:w="1400"/>
        <w:gridCol w:w="155"/>
        <w:gridCol w:w="88"/>
        <w:gridCol w:w="60"/>
        <w:gridCol w:w="1400"/>
        <w:gridCol w:w="159"/>
      </w:tblGrid>
      <w:tr>
        <w:trPr/>
        <w:tc>
          <w:tcPr>
            <w:tcW w:w="334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4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569" w:type="dxa"/>
            <w:gridSpan w:val="14"/>
            <w:tcBorders/>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June 30,</w:t>
            </w:r>
          </w:p>
          <w:p>
            <w:pPr>
              <w:pStyle w:val="TableContents"/>
              <w:bidi w:val="0"/>
              <w:spacing w:before="0" w:after="20"/>
              <w:jc w:val="center"/>
              <w:rPr>
                <w:rFonts w:ascii="Times New Roman" w:hAnsi="Times New Roman"/>
                <w:sz w:val="16"/>
              </w:rPr>
            </w:pPr>
            <w:r>
              <w:rPr>
                <w:rFonts w:ascii="Times New Roman" w:hAnsi="Times New Roman"/>
                <w:sz w:val="16"/>
              </w:rPr>
              <w:t>2025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March 31,</w:t>
            </w:r>
          </w:p>
          <w:p>
            <w:pPr>
              <w:pStyle w:val="TableContents"/>
              <w:bidi w:val="0"/>
              <w:spacing w:before="0" w:after="20"/>
              <w:jc w:val="center"/>
              <w:rPr>
                <w:rFonts w:ascii="Times New Roman" w:hAnsi="Times New Roman"/>
                <w:sz w:val="16"/>
              </w:rPr>
            </w:pPr>
            <w:r>
              <w:rPr>
                <w:rFonts w:ascii="Times New Roman" w:hAnsi="Times New Roman"/>
                <w:sz w:val="16"/>
              </w:rPr>
              <w:t>2026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59" w:type="dxa"/>
            <w:tcBorders/>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i/>
              </w:rPr>
            </w:pPr>
            <w:r>
              <w:rPr>
                <w:i/>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i/>
              </w:rPr>
            </w:pPr>
            <w:r>
              <w:rPr>
                <w:i/>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b/>
                <w:i/>
              </w:rPr>
            </w:pPr>
            <w:r>
              <w:rPr>
                <w:b/>
                <w:i/>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b/>
                <w:i/>
              </w:rPr>
            </w:pPr>
            <w:r>
              <w:rPr>
                <w:b/>
                <w:i/>
              </w:rPr>
              <w:t>US$</w:t>
            </w:r>
          </w:p>
        </w:tc>
        <w:tc>
          <w:tcPr>
            <w:tcW w:w="159" w:type="dxa"/>
            <w:tcBorders/>
            <w:vAlign w:val="bottom"/>
          </w:tcPr>
          <w:p>
            <w:pPr>
              <w:pStyle w:val="TableContents"/>
              <w:bidi w:val="0"/>
              <w:spacing w:before="0" w:after="283"/>
              <w:jc w:val="left"/>
              <w:rPr/>
            </w:pPr>
            <w:r>
              <w:rPr/>
              <w:t> </w:t>
            </w:r>
          </w:p>
        </w:tc>
      </w:tr>
      <w:tr>
        <w:trPr/>
        <w:tc>
          <w:tcPr>
            <w:tcW w:w="33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(477,754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(1,784,100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(1,337,064</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(197,056</w:t>
            </w:r>
          </w:p>
        </w:tc>
        <w:tc>
          <w:tcPr>
            <w:tcW w:w="159" w:type="dxa"/>
            <w:tcBorders/>
            <w:shd w:fill="CCEEFF" w:val="clear"/>
            <w:vAlign w:val="bottom"/>
          </w:tcPr>
          <w:p>
            <w:pPr>
              <w:pStyle w:val="TableContents"/>
              <w:bidi w:val="0"/>
              <w:spacing w:before="0" w:after="283"/>
              <w:jc w:val="left"/>
              <w:rPr>
                <w:b/>
              </w:rPr>
            </w:pPr>
            <w:r>
              <w:rPr>
                <w:b/>
              </w:rPr>
              <w:t>) </w:t>
            </w:r>
          </w:p>
        </w:tc>
      </w:tr>
      <w:tr>
        <w:trPr/>
        <w:tc>
          <w:tcPr>
            <w:tcW w:w="334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3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(16,414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(274,419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(261,107</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(38,482</w:t>
            </w:r>
          </w:p>
        </w:tc>
        <w:tc>
          <w:tcPr>
            <w:tcW w:w="159" w:type="dxa"/>
            <w:tcBorders/>
            <w:shd w:fill="CCEEFF" w:val="clear"/>
            <w:vAlign w:val="bottom"/>
          </w:tcPr>
          <w:p>
            <w:pPr>
              <w:pStyle w:val="TableContents"/>
              <w:bidi w:val="0"/>
              <w:spacing w:before="0" w:after="283"/>
              <w:jc w:val="left"/>
              <w:rPr>
                <w:b/>
              </w:rPr>
            </w:pPr>
            <w:r>
              <w:rPr>
                <w:b/>
              </w:rPr>
              <w:t>) </w:t>
            </w:r>
          </w:p>
        </w:tc>
      </w:tr>
      <w:tr>
        <w:trPr/>
        <w:tc>
          <w:tcPr>
            <w:tcW w:w="3347"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 attributable to XPeng Inc.</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(494,168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(2,058,519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(1,598,171</w:t>
            </w:r>
          </w:p>
        </w:tc>
        <w:tc>
          <w:tcPr>
            <w:tcW w:w="155" w:type="dxa"/>
            <w:tcBorders/>
            <w:vAlign w:val="bottom"/>
          </w:tcPr>
          <w:p>
            <w:pPr>
              <w:pStyle w:val="TableContents"/>
              <w:bidi w:val="0"/>
              <w:spacing w:before="0" w:after="283"/>
              <w:jc w:val="left"/>
              <w:rPr>
                <w:b/>
              </w:rPr>
            </w:pPr>
            <w:r>
              <w:rPr>
                <w:b/>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(235,538</w:t>
            </w:r>
          </w:p>
        </w:tc>
        <w:tc>
          <w:tcPr>
            <w:tcW w:w="159" w:type="dxa"/>
            <w:tcBorders/>
            <w:vAlign w:val="bottom"/>
          </w:tcPr>
          <w:p>
            <w:pPr>
              <w:pStyle w:val="TableContents"/>
              <w:bidi w:val="0"/>
              <w:spacing w:before="0" w:after="283"/>
              <w:jc w:val="left"/>
              <w:rPr>
                <w:b/>
              </w:rPr>
            </w:pPr>
            <w:r>
              <w:rPr>
                <w:b/>
              </w:rPr>
              <w:t>) </w:t>
            </w:r>
          </w:p>
        </w:tc>
      </w:tr>
      <w:tr>
        <w:trPr/>
        <w:tc>
          <w:tcPr>
            <w:tcW w:w="3347"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ordinary shareholders of XPeng Inc.</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(494,168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(2,058,519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(1,598,171</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(235,538</w:t>
            </w:r>
          </w:p>
        </w:tc>
        <w:tc>
          <w:tcPr>
            <w:tcW w:w="159" w:type="dxa"/>
            <w:tcBorders/>
            <w:shd w:fill="CCEEFF" w:val="clear"/>
            <w:vAlign w:val="bottom"/>
          </w:tcPr>
          <w:p>
            <w:pPr>
              <w:pStyle w:val="TableContents"/>
              <w:bidi w:val="0"/>
              <w:spacing w:before="0" w:after="283"/>
              <w:jc w:val="left"/>
              <w:rPr>
                <w:b/>
              </w:rPr>
            </w:pPr>
            <w:r>
              <w:rPr>
                <w:b/>
              </w:rPr>
              <w:t>) </w:t>
            </w:r>
          </w:p>
        </w:tc>
      </w:tr>
      <w:tr>
        <w:trPr/>
        <w:tc>
          <w:tcPr>
            <w:tcW w:w="3347"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ordinary shares used in computing net loss per ordinary share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3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1,902,441,632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1,910,568,643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1,912,734,380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1,912,734,380</w:t>
            </w:r>
          </w:p>
        </w:tc>
        <w:tc>
          <w:tcPr>
            <w:tcW w:w="159"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per ordinary share attributable to ordinary shareholders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3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(0.25</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(0.93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(0.70</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(0.10</w:t>
            </w:r>
          </w:p>
        </w:tc>
        <w:tc>
          <w:tcPr>
            <w:tcW w:w="159" w:type="dxa"/>
            <w:tcBorders/>
            <w:shd w:fill="CCEEFF" w:val="clear"/>
            <w:vAlign w:val="bottom"/>
          </w:tcPr>
          <w:p>
            <w:pPr>
              <w:pStyle w:val="TableContents"/>
              <w:bidi w:val="0"/>
              <w:spacing w:before="0" w:after="283"/>
              <w:jc w:val="left"/>
              <w:rPr>
                <w:b/>
              </w:rPr>
            </w:pPr>
            <w:r>
              <w:rPr>
                <w:b/>
              </w:rPr>
              <w:t>) </w:t>
            </w:r>
          </w:p>
        </w:tc>
      </w:tr>
      <w:tr>
        <w:trPr/>
        <w:tc>
          <w:tcPr>
            <w:tcW w:w="3347"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ADS used in computing net loss per share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3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951,220,816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955,284,322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956,367,190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956,367,190</w:t>
            </w:r>
          </w:p>
        </w:tc>
        <w:tc>
          <w:tcPr>
            <w:tcW w:w="159"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per ADS attributable to ordinary shareholders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3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(0.50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(1.87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(1.40</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(0.21</w:t>
            </w:r>
          </w:p>
        </w:tc>
        <w:tc>
          <w:tcPr>
            <w:tcW w:w="159"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RECONCILIATIONS OF GAAP AND </w:t>
      </w:r>
    </w:p>
    <w:p>
      <w:pPr>
        <w:pStyle w:val="TextBody"/>
        <w:bidi w:val="0"/>
        <w:spacing w:before="0" w:after="0"/>
        <w:jc w:val="center"/>
        <w:rPr>
          <w:rFonts w:ascii="Times New Roman" w:hAnsi="Times New Roman"/>
          <w:b/>
          <w:sz w:val="20"/>
        </w:rPr>
      </w:pPr>
      <w:r>
        <w:rPr>
          <w:rFonts w:ascii="Times New Roman" w:hAnsi="Times New Roman"/>
          <w:b/>
          <w:sz w:val="20"/>
        </w:rPr>
        <w:t xml:space="preserve">NON-GAAP RESULTS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9"/>
        <w:gridCol w:w="131"/>
        <w:gridCol w:w="60"/>
        <w:gridCol w:w="1407"/>
        <w:gridCol w:w="155"/>
        <w:gridCol w:w="89"/>
        <w:gridCol w:w="60"/>
        <w:gridCol w:w="1407"/>
        <w:gridCol w:w="155"/>
        <w:gridCol w:w="89"/>
        <w:gridCol w:w="60"/>
        <w:gridCol w:w="1407"/>
        <w:gridCol w:w="155"/>
        <w:gridCol w:w="89"/>
        <w:gridCol w:w="60"/>
        <w:gridCol w:w="1406"/>
        <w:gridCol w:w="166"/>
      </w:tblGrid>
      <w:tr>
        <w:trPr/>
        <w:tc>
          <w:tcPr>
            <w:tcW w:w="330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0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599" w:type="dxa"/>
            <w:gridSpan w:val="14"/>
            <w:tcBorders/>
            <w:vAlign w:val="bottom"/>
          </w:tcPr>
          <w:p>
            <w:pPr>
              <w:pStyle w:val="TableContents"/>
              <w:bidi w:val="0"/>
              <w:spacing w:before="0" w:after="283"/>
              <w:jc w:val="center"/>
              <w:rPr>
                <w:b/>
              </w:rPr>
            </w:pPr>
            <w:r>
              <w:rPr>
                <w:b/>
              </w:rPr>
              <w:t>Three Months Ended</w:t>
            </w:r>
          </w:p>
        </w:tc>
        <w:tc>
          <w:tcPr>
            <w:tcW w:w="166" w:type="dxa"/>
            <w:tcBorders/>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June 30,</w:t>
            </w:r>
          </w:p>
          <w:p>
            <w:pPr>
              <w:pStyle w:val="TableContents"/>
              <w:bidi w:val="0"/>
              <w:spacing w:before="0" w:after="20"/>
              <w:jc w:val="center"/>
              <w:rPr>
                <w:rFonts w:ascii="Times New Roman" w:hAnsi="Times New Roman"/>
                <w:sz w:val="16"/>
              </w:rPr>
            </w:pPr>
            <w:r>
              <w:rPr>
                <w:rFonts w:ascii="Times New Roman" w:hAnsi="Times New Roman"/>
                <w:sz w:val="16"/>
              </w:rPr>
              <w:t>2025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March 31,</w:t>
            </w:r>
          </w:p>
          <w:p>
            <w:pPr>
              <w:pStyle w:val="TableContents"/>
              <w:bidi w:val="0"/>
              <w:spacing w:before="0" w:after="20"/>
              <w:jc w:val="center"/>
              <w:rPr>
                <w:rFonts w:ascii="Times New Roman" w:hAnsi="Times New Roman"/>
                <w:sz w:val="16"/>
              </w:rPr>
            </w:pPr>
            <w:r>
              <w:rPr>
                <w:rFonts w:ascii="Times New Roman" w:hAnsi="Times New Roman"/>
                <w:sz w:val="16"/>
              </w:rPr>
              <w:t>2026</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6"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66" w:type="dxa"/>
            <w:tcBorders/>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bidi w:val="0"/>
              <w:spacing w:before="0" w:after="283"/>
              <w:jc w:val="center"/>
              <w:rPr>
                <w:i/>
              </w:rPr>
            </w:pPr>
            <w:r>
              <w:rPr>
                <w:i/>
              </w:rPr>
              <w:t>RMB</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bidi w:val="0"/>
              <w:spacing w:before="0" w:after="283"/>
              <w:jc w:val="center"/>
              <w:rPr>
                <w:i/>
              </w:rPr>
            </w:pPr>
            <w:r>
              <w:rPr>
                <w:i/>
              </w:rPr>
              <w:t>RMB</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bidi w:val="0"/>
              <w:spacing w:before="0" w:after="283"/>
              <w:jc w:val="center"/>
              <w:rPr>
                <w:b/>
                <w:i/>
              </w:rPr>
            </w:pPr>
            <w:r>
              <w:rPr>
                <w:b/>
                <w:i/>
              </w:rPr>
              <w:t>RMB</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6" w:type="dxa"/>
            <w:gridSpan w:val="2"/>
            <w:tcBorders/>
            <w:vAlign w:val="bottom"/>
          </w:tcPr>
          <w:p>
            <w:pPr>
              <w:pStyle w:val="TableContents"/>
              <w:bidi w:val="0"/>
              <w:spacing w:before="0" w:after="283"/>
              <w:jc w:val="center"/>
              <w:rPr>
                <w:b/>
                <w:i/>
              </w:rPr>
            </w:pPr>
            <w:r>
              <w:rPr>
                <w:b/>
                <w:i/>
              </w:rPr>
              <w:t>US$</w:t>
            </w:r>
          </w:p>
        </w:tc>
        <w:tc>
          <w:tcPr>
            <w:tcW w:w="166"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(934,649</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(1,874,474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b/>
              </w:rPr>
            </w:pPr>
            <w:r>
              <w:rPr>
                <w:b/>
              </w:rPr>
              <w:t>(1,142,530</w:t>
            </w:r>
          </w:p>
        </w:tc>
        <w:tc>
          <w:tcPr>
            <w:tcW w:w="155" w:type="dxa"/>
            <w:tcBorders/>
            <w:shd w:fill="CCEEFF" w:val="clear"/>
            <w:vAlign w:val="bottom"/>
          </w:tcPr>
          <w:p>
            <w:pPr>
              <w:pStyle w:val="TableContents"/>
              <w:bidi w:val="0"/>
              <w:spacing w:before="0" w:after="283"/>
              <w:jc w:val="left"/>
              <w:rPr>
                <w:b/>
              </w:rPr>
            </w:pPr>
            <w:r>
              <w:rPr>
                <w:b/>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b/>
              </w:rPr>
            </w:pPr>
            <w:r>
              <w:rPr>
                <w:b/>
              </w:rPr>
              <w:t>(168,386</w:t>
            </w:r>
          </w:p>
        </w:tc>
        <w:tc>
          <w:tcPr>
            <w:tcW w:w="166" w:type="dxa"/>
            <w:tcBorders/>
            <w:shd w:fill="CCEEFF" w:val="clear"/>
            <w:vAlign w:val="bottom"/>
          </w:tcPr>
          <w:p>
            <w:pPr>
              <w:pStyle w:val="TableContents"/>
              <w:bidi w:val="0"/>
              <w:spacing w:before="0" w:after="283"/>
              <w:jc w:val="left"/>
              <w:rPr>
                <w:b/>
              </w:rPr>
            </w:pPr>
            <w:r>
              <w:rPr>
                <w:b/>
              </w:rPr>
              <w:t>) </w:t>
            </w:r>
          </w:p>
        </w:tc>
      </w:tr>
      <w:tr>
        <w:trP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 on derivative liability relating to the contingent consideration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(34,004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(51,113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(47,662</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(7,025</w:t>
            </w:r>
          </w:p>
        </w:tc>
        <w:tc>
          <w:tcPr>
            <w:tcW w:w="166" w:type="dxa"/>
            <w:tcBorders/>
            <w:vAlign w:val="bottom"/>
          </w:tcPr>
          <w:p>
            <w:pPr>
              <w:pStyle w:val="TableContents"/>
              <w:bidi w:val="0"/>
              <w:spacing w:before="0" w:after="283"/>
              <w:jc w:val="left"/>
              <w:rPr>
                <w:b/>
              </w:rPr>
            </w:pPr>
            <w:r>
              <w:rPr>
                <w:b/>
              </w:rPr>
              <w:t>) </w:t>
            </w:r>
          </w:p>
        </w:tc>
      </w:tr>
      <w:tr>
        <w:trP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126,475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149,549</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b/>
              </w:rPr>
            </w:pPr>
            <w:r>
              <w:rPr>
                <w:b/>
              </w:rPr>
              <w:t>147,403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b/>
              </w:rPr>
            </w:pPr>
            <w:r>
              <w:rPr>
                <w:b/>
              </w:rPr>
              <w:t>21,725</w:t>
            </w:r>
          </w:p>
        </w:tc>
        <w:tc>
          <w:tcPr>
            <w:tcW w:w="166"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loss from operations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(842,178</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(1,776,038</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(1,042,789</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(153,686</w:t>
            </w:r>
          </w:p>
        </w:tc>
        <w:tc>
          <w:tcPr>
            <w:tcW w:w="166" w:type="dxa"/>
            <w:tcBorders/>
            <w:vAlign w:val="bottom"/>
          </w:tcPr>
          <w:p>
            <w:pPr>
              <w:pStyle w:val="TableContents"/>
              <w:bidi w:val="0"/>
              <w:spacing w:before="0" w:after="283"/>
              <w:jc w:val="left"/>
              <w:rPr>
                <w:b/>
              </w:rPr>
            </w:pPr>
            <w:r>
              <w:rPr>
                <w:b/>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(477,754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(1,784,100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b/>
              </w:rPr>
            </w:pPr>
            <w:r>
              <w:rPr>
                <w:b/>
              </w:rPr>
              <w:t>(1,337,064</w:t>
            </w:r>
          </w:p>
        </w:tc>
        <w:tc>
          <w:tcPr>
            <w:tcW w:w="155" w:type="dxa"/>
            <w:tcBorders/>
            <w:shd w:fill="CCEEFF" w:val="clear"/>
            <w:vAlign w:val="bottom"/>
          </w:tcPr>
          <w:p>
            <w:pPr>
              <w:pStyle w:val="TableContents"/>
              <w:bidi w:val="0"/>
              <w:spacing w:before="0" w:after="283"/>
              <w:jc w:val="left"/>
              <w:rPr>
                <w:b/>
              </w:rPr>
            </w:pPr>
            <w:r>
              <w:rPr>
                <w:b/>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b/>
              </w:rPr>
            </w:pPr>
            <w:r>
              <w:rPr>
                <w:b/>
              </w:rPr>
              <w:t>(197,056</w:t>
            </w:r>
          </w:p>
        </w:tc>
        <w:tc>
          <w:tcPr>
            <w:tcW w:w="166" w:type="dxa"/>
            <w:tcBorders/>
            <w:shd w:fill="CCEEFF" w:val="clear"/>
            <w:vAlign w:val="bottom"/>
          </w:tcPr>
          <w:p>
            <w:pPr>
              <w:pStyle w:val="TableContents"/>
              <w:bidi w:val="0"/>
              <w:spacing w:before="0" w:after="283"/>
              <w:jc w:val="left"/>
              <w:rPr>
                <w:b/>
              </w:rPr>
            </w:pPr>
            <w:r>
              <w:rPr>
                <w:b/>
              </w:rPr>
              <w:t>) </w:t>
            </w:r>
          </w:p>
        </w:tc>
      </w:tr>
      <w:tr>
        <w:trP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 on derivative liability relating to the contingent consideration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(34,004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(51,113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(47,662</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(7,025</w:t>
            </w:r>
          </w:p>
        </w:tc>
        <w:tc>
          <w:tcPr>
            <w:tcW w:w="166" w:type="dxa"/>
            <w:tcBorders/>
            <w:vAlign w:val="bottom"/>
          </w:tcPr>
          <w:p>
            <w:pPr>
              <w:pStyle w:val="TableContents"/>
              <w:bidi w:val="0"/>
              <w:spacing w:before="0" w:after="283"/>
              <w:jc w:val="left"/>
              <w:rPr>
                <w:b/>
              </w:rPr>
            </w:pPr>
            <w:r>
              <w:rPr>
                <w:b/>
              </w:rPr>
              <w:t>) </w:t>
            </w:r>
          </w:p>
        </w:tc>
      </w:tr>
      <w:tr>
        <w:trP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126,475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149,549</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b/>
              </w:rPr>
            </w:pPr>
            <w:r>
              <w:rPr>
                <w:b/>
              </w:rPr>
              <w:t>147,403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b/>
              </w:rPr>
            </w:pPr>
            <w:r>
              <w:rPr>
                <w:b/>
              </w:rPr>
              <w:t>21,725</w:t>
            </w:r>
          </w:p>
        </w:tc>
        <w:tc>
          <w:tcPr>
            <w:tcW w:w="166"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net loss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(385,283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(1,685,664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(1,237,323</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(182,356</w:t>
            </w:r>
          </w:p>
        </w:tc>
        <w:tc>
          <w:tcPr>
            <w:tcW w:w="166" w:type="dxa"/>
            <w:tcBorders/>
            <w:vAlign w:val="bottom"/>
          </w:tcPr>
          <w:p>
            <w:pPr>
              <w:pStyle w:val="TableContents"/>
              <w:bidi w:val="0"/>
              <w:spacing w:before="0" w:after="283"/>
              <w:jc w:val="left"/>
              <w:rPr>
                <w:b/>
              </w:rPr>
            </w:pPr>
            <w:r>
              <w:rPr>
                <w:b/>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ordinary shareholders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(477,754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(1,784,100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b/>
              </w:rPr>
            </w:pPr>
            <w:r>
              <w:rPr>
                <w:b/>
              </w:rPr>
              <w:t>(1,337,064</w:t>
            </w:r>
          </w:p>
        </w:tc>
        <w:tc>
          <w:tcPr>
            <w:tcW w:w="155" w:type="dxa"/>
            <w:tcBorders/>
            <w:shd w:fill="CCEEFF" w:val="clear"/>
            <w:vAlign w:val="bottom"/>
          </w:tcPr>
          <w:p>
            <w:pPr>
              <w:pStyle w:val="TableContents"/>
              <w:bidi w:val="0"/>
              <w:spacing w:before="0" w:after="283"/>
              <w:jc w:val="left"/>
              <w:rPr>
                <w:b/>
              </w:rPr>
            </w:pPr>
            <w:r>
              <w:rPr>
                <w:b/>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b/>
              </w:rPr>
            </w:pPr>
            <w:r>
              <w:rPr>
                <w:b/>
              </w:rPr>
              <w:t>(197,056</w:t>
            </w:r>
          </w:p>
        </w:tc>
        <w:tc>
          <w:tcPr>
            <w:tcW w:w="166" w:type="dxa"/>
            <w:tcBorders/>
            <w:shd w:fill="CCEEFF" w:val="clear"/>
            <w:vAlign w:val="bottom"/>
          </w:tcPr>
          <w:p>
            <w:pPr>
              <w:pStyle w:val="TableContents"/>
              <w:bidi w:val="0"/>
              <w:spacing w:before="0" w:after="283"/>
              <w:jc w:val="left"/>
              <w:rPr>
                <w:b/>
              </w:rPr>
            </w:pPr>
            <w:r>
              <w:rPr>
                <w:b/>
              </w:rPr>
              <w:t>) </w:t>
            </w:r>
          </w:p>
        </w:tc>
      </w:tr>
      <w:tr>
        <w:trP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 on derivative liability relating to the contingent consideration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(34,004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(51,113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(47,662</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(7,025</w:t>
            </w:r>
          </w:p>
        </w:tc>
        <w:tc>
          <w:tcPr>
            <w:tcW w:w="166" w:type="dxa"/>
            <w:tcBorders/>
            <w:vAlign w:val="bottom"/>
          </w:tcPr>
          <w:p>
            <w:pPr>
              <w:pStyle w:val="TableContents"/>
              <w:bidi w:val="0"/>
              <w:spacing w:before="0" w:after="283"/>
              <w:jc w:val="left"/>
              <w:rPr>
                <w:b/>
              </w:rPr>
            </w:pPr>
            <w:r>
              <w:rPr>
                <w:b/>
              </w:rPr>
              <w:t>) </w:t>
            </w:r>
          </w:p>
        </w:tc>
      </w:tr>
      <w:tr>
        <w:trP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126,475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149,549</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b/>
              </w:rPr>
            </w:pPr>
            <w:r>
              <w:rPr>
                <w:b/>
              </w:rPr>
              <w:t>147,403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b/>
              </w:rPr>
            </w:pPr>
            <w:r>
              <w:rPr>
                <w:b/>
              </w:rPr>
              <w:t>21,725</w:t>
            </w:r>
          </w:p>
        </w:tc>
        <w:tc>
          <w:tcPr>
            <w:tcW w:w="166"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net loss attributable to ordinary shareholders of XPeng Inc.</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(385,283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(1,685,664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(1,237,323</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(182,356</w:t>
            </w:r>
          </w:p>
        </w:tc>
        <w:tc>
          <w:tcPr>
            <w:tcW w:w="166" w:type="dxa"/>
            <w:tcBorders/>
            <w:vAlign w:val="bottom"/>
          </w:tcPr>
          <w:p>
            <w:pPr>
              <w:pStyle w:val="TableContents"/>
              <w:bidi w:val="0"/>
              <w:spacing w:before="0" w:after="283"/>
              <w:jc w:val="left"/>
              <w:rPr>
                <w:b/>
              </w:rPr>
            </w:pPr>
            <w:r>
              <w:rPr>
                <w:b/>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ordinary shares used in calculating Non-GAAP net loss per share</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6"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1,902,441,632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1,910,568,643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1,912,734,380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1,912,734,380</w:t>
            </w:r>
          </w:p>
        </w:tc>
        <w:tc>
          <w:tcPr>
            <w:tcW w:w="166"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loss per ordinary share</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6"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(0.20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(0.88</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(0.65</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(0.10</w:t>
            </w:r>
          </w:p>
        </w:tc>
        <w:tc>
          <w:tcPr>
            <w:tcW w:w="166" w:type="dxa"/>
            <w:tcBorders/>
            <w:vAlign w:val="bottom"/>
          </w:tcPr>
          <w:p>
            <w:pPr>
              <w:pStyle w:val="TableContents"/>
              <w:bidi w:val="0"/>
              <w:spacing w:before="0" w:after="283"/>
              <w:jc w:val="left"/>
              <w:rPr>
                <w:b/>
              </w:rPr>
            </w:pPr>
            <w:r>
              <w:rPr>
                <w:b/>
              </w:rPr>
              <w:t>) </w:t>
            </w:r>
          </w:p>
        </w:tc>
      </w:tr>
      <w:tr>
        <w:trPr/>
        <w:tc>
          <w:tcPr>
            <w:tcW w:w="33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ADS used in calculating Non-GAAP net loss per share</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6"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951,220,816</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955,284,322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956,367,190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956,367,190</w:t>
            </w:r>
          </w:p>
        </w:tc>
        <w:tc>
          <w:tcPr>
            <w:tcW w:w="166"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loss per ADS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6"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(0.41</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(1.76</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b/>
              </w:rPr>
            </w:pPr>
            <w:r>
              <w:rPr>
                <w:b/>
              </w:rPr>
              <w:t>(1.29</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b/>
              </w:rPr>
            </w:pPr>
            <w:r>
              <w:rPr>
                <w:b/>
              </w:rPr>
              <w:t>(0.19</w:t>
            </w:r>
          </w:p>
        </w:tc>
        <w:tc>
          <w:tcPr>
            <w:tcW w:w="166"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right"/>
        <w:rPr>
          <w:rFonts w:ascii="Times New Roman" w:hAnsi="Times New Roman"/>
          <w:b/>
          <w:sz w:val="20"/>
        </w:rPr>
      </w:pPr>
      <w:bookmarkStart w:id="4" w:name="d75446dex992.htm"/>
      <w:bookmarkStart w:id="5" w:name="ksd75446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525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876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0" w:after="0"/>
        <w:jc w:val="center"/>
        <w:rPr/>
      </w:pPr>
      <w:r>
        <w:rPr>
          <w:rFonts w:eastAsia="PMingLiU"/>
          <w:b/>
          <w:sz w:val="18"/>
        </w:rPr>
        <w:t>小鵬集團</w:t>
      </w:r>
      <w:r>
        <w:rPr>
          <w:rFonts w:ascii="Times New Roman" w:hAnsi="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 9868) </w:t>
      </w:r>
    </w:p>
    <w:p>
      <w:pPr>
        <w:pStyle w:val="TextBody"/>
        <w:bidi w:val="0"/>
        <w:spacing w:before="240" w:after="0"/>
        <w:jc w:val="center"/>
        <w:rPr>
          <w:rFonts w:ascii="Times New Roman" w:hAnsi="Times New Roman"/>
          <w:b/>
          <w:sz w:val="20"/>
        </w:rPr>
      </w:pPr>
      <w:r>
        <w:rPr>
          <w:rFonts w:ascii="Times New Roman" w:hAnsi="Times New Roman"/>
          <w:b/>
          <w:sz w:val="20"/>
        </w:rPr>
        <w:t xml:space="preserve">Interim Results Announcement for the Six Months </w:t>
      </w:r>
    </w:p>
    <w:p>
      <w:pPr>
        <w:pStyle w:val="TextBody"/>
        <w:bidi w:val="0"/>
        <w:spacing w:before="0" w:after="0"/>
        <w:jc w:val="center"/>
        <w:rPr>
          <w:rFonts w:ascii="Times New Roman" w:hAnsi="Times New Roman"/>
          <w:b/>
          <w:sz w:val="20"/>
        </w:rPr>
      </w:pPr>
      <w:r>
        <w:rPr>
          <w:rFonts w:ascii="Times New Roman" w:hAnsi="Times New Roman"/>
          <w:b/>
          <w:sz w:val="20"/>
        </w:rPr>
        <w:t xml:space="preserve">Ended June 30, 2026 </w:t>
      </w:r>
    </w:p>
    <w:p>
      <w:pPr>
        <w:pStyle w:val="TextBody"/>
        <w:bidi w:val="0"/>
        <w:spacing w:before="240" w:after="0"/>
        <w:jc w:val="left"/>
        <w:rPr>
          <w:rFonts w:ascii="Times New Roman" w:hAnsi="Times New Roman"/>
          <w:sz w:val="20"/>
        </w:rPr>
      </w:pPr>
      <w:r>
        <w:rPr>
          <w:rFonts w:ascii="Times New Roman" w:hAnsi="Times New Roman"/>
          <w:sz w:val="20"/>
        </w:rPr>
        <w:t>XPeng Inc. (“</w:t>
      </w:r>
      <w:r>
        <w:rPr>
          <w:rFonts w:ascii="Times New Roman" w:hAnsi="Times New Roman"/>
          <w:b/>
          <w:sz w:val="20"/>
        </w:rPr>
        <w:t>XPENG</w:t>
      </w:r>
      <w:r>
        <w:rPr>
          <w:rFonts w:ascii="Times New Roman" w:hAnsi="Times New Roman"/>
          <w:sz w:val="20"/>
        </w:rPr>
        <w:t>” or the “</w:t>
      </w:r>
      <w:r>
        <w:rPr>
          <w:rFonts w:ascii="Times New Roman" w:hAnsi="Times New Roman"/>
          <w:b/>
          <w:sz w:val="20"/>
        </w:rPr>
        <w:t>Company</w:t>
      </w:r>
      <w:r>
        <w:rPr>
          <w:rFonts w:ascii="Times New Roman" w:hAnsi="Times New Roman"/>
          <w:sz w:val="20"/>
        </w:rPr>
        <w:t>,” Hong Kong stock code: 9868 and NYSE symbol: XPEV), a leading global Physical AI company, today announced the unaudited financial results of the Company and its subsidiaries and consolidated affiliated entities (the “</w:t>
      </w:r>
      <w:r>
        <w:rPr>
          <w:rFonts w:ascii="Times New Roman" w:hAnsi="Times New Roman"/>
          <w:b/>
          <w:sz w:val="20"/>
        </w:rPr>
        <w:t>Group</w:t>
      </w:r>
      <w:r>
        <w:rPr>
          <w:rFonts w:ascii="Times New Roman" w:hAnsi="Times New Roman"/>
          <w:sz w:val="20"/>
        </w:rPr>
        <w:t>”) for the six months ended June 30, 2026 (the “</w:t>
      </w:r>
      <w:r>
        <w:rPr>
          <w:rFonts w:ascii="Times New Roman" w:hAnsi="Times New Roman"/>
          <w:b/>
          <w:sz w:val="20"/>
        </w:rPr>
        <w:t>Reporting Period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OPERATIONAL AND FINANCIAL HIGHLIGHTS FOR THE SIX MONTHS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deliveries of vehicles </w:t>
            </w:r>
            <w:r>
              <w:rPr>
                <w:rFonts w:ascii="Times New Roman" w:hAnsi="Times New Roman"/>
                <w:sz w:val="20"/>
              </w:rPr>
              <w:t xml:space="preserve">were 165,977 in the six months ended June 30, 2026, representing a decrease of 15.8% from 197,189 in the six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XPENG’s physical sales network </w:t>
            </w:r>
            <w:r>
              <w:rPr>
                <w:rFonts w:ascii="Times New Roman" w:hAnsi="Times New Roman"/>
                <w:sz w:val="20"/>
              </w:rPr>
              <w:t xml:space="preserve">had a total of 740 stores, covering 257 cities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XPENG self-operated charging station network </w:t>
            </w:r>
            <w:r>
              <w:rPr>
                <w:rFonts w:ascii="Times New Roman" w:hAnsi="Times New Roman"/>
                <w:sz w:val="20"/>
              </w:rPr>
              <w:t xml:space="preserve">reached 3,780 stations, including 2,720 XPENG ultra-fast charging stations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revenues </w:t>
            </w:r>
            <w:r>
              <w:rPr>
                <w:rFonts w:ascii="Times New Roman" w:hAnsi="Times New Roman"/>
                <w:sz w:val="20"/>
              </w:rPr>
              <w:t xml:space="preserve">were RMB32.78 billion in the six months ended June 30, 2026, representing a decrease of 3.8% from RMB34.09 billion in the six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Revenues from vehicle sales </w:t>
            </w:r>
            <w:r>
              <w:rPr>
                <w:rFonts w:ascii="Times New Roman" w:hAnsi="Times New Roman"/>
                <w:sz w:val="20"/>
              </w:rPr>
              <w:t xml:space="preserve">were RMB28.05 billion in the six months ended June 30, 2026, representing a decrease of 10.3% from RMB31.25 billion in the six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Gross margin </w:t>
            </w:r>
            <w:r>
              <w:rPr>
                <w:rFonts w:ascii="Times New Roman" w:hAnsi="Times New Roman"/>
                <w:sz w:val="20"/>
              </w:rPr>
              <w:t xml:space="preserve">was 20.6% in the six months ended June 30, 2026, compared with 16.5% in the six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Vehicle margin</w:t>
            </w:r>
            <w:r>
              <w:rPr>
                <w:rFonts w:ascii="Times New Roman" w:hAnsi="Times New Roman"/>
                <w:sz w:val="20"/>
              </w:rPr>
              <w:t xml:space="preserve">, which is gross profit of vehicle sales as a percentage of vehicle sales revenues, was 12.1% in the six months ended June 30, 2026, compared with 12.6% in the six months ended June 30,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was RMB3.12 billion in the six months ended June 30, 2026, compared with RMB1.14 billion in the six months ended June 30, 2025. Excluding share-based compensation expenses and fair value (gain) loss on derivative liability relating to the contingent consideration, </w:t>
            </w:r>
            <w:r>
              <w:rPr>
                <w:rFonts w:ascii="Times New Roman" w:hAnsi="Times New Roman"/>
                <w:b/>
                <w:sz w:val="20"/>
              </w:rPr>
              <w:t xml:space="preserve">non-GAAP net loss </w:t>
            </w:r>
            <w:r>
              <w:rPr>
                <w:rFonts w:ascii="Times New Roman" w:hAnsi="Times New Roman"/>
                <w:sz w:val="20"/>
              </w:rPr>
              <w:t xml:space="preserve">was RMB2.92 billion in the six months ended June 30, 2026, compared with RMB0.81 billion in the six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attributable to ordinary shareholders of XPENG </w:t>
            </w:r>
            <w:r>
              <w:rPr>
                <w:rFonts w:ascii="Times New Roman" w:hAnsi="Times New Roman"/>
                <w:sz w:val="20"/>
              </w:rPr>
              <w:t xml:space="preserve">was RMB3.12 billion in the six months ended June 30, 2026, compared with RMB1.14 billion in the six months ended June 30, 2025. Excluding share-based compensation expenses and fair value (gain) loss on derivative liability relating to the contingent consideration, </w:t>
            </w:r>
            <w:r>
              <w:rPr>
                <w:rFonts w:ascii="Times New Roman" w:hAnsi="Times New Roman"/>
                <w:b/>
                <w:sz w:val="20"/>
              </w:rPr>
              <w:t xml:space="preserve">non-GAAP net loss attributable to ordinary shareholders of XPENG </w:t>
            </w:r>
            <w:r>
              <w:rPr>
                <w:rFonts w:ascii="Times New Roman" w:hAnsi="Times New Roman"/>
                <w:sz w:val="20"/>
              </w:rPr>
              <w:t xml:space="preserve">was RMB2.92 billion in the six months ended June 30, 2026, compared with RMB0.81 billion in the six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Basic and diluted net loss per American depositary share (ADS) </w:t>
            </w:r>
            <w:r>
              <w:rPr>
                <w:rFonts w:ascii="Times New Roman" w:hAnsi="Times New Roman"/>
                <w:sz w:val="20"/>
              </w:rPr>
              <w:t xml:space="preserve">were both RMB3.27 and </w:t>
            </w:r>
            <w:r>
              <w:rPr>
                <w:rFonts w:ascii="Times New Roman" w:hAnsi="Times New Roman"/>
                <w:b/>
                <w:sz w:val="20"/>
              </w:rPr>
              <w:t xml:space="preserve">basic and diluted net loss per ordinary share </w:t>
            </w:r>
            <w:r>
              <w:rPr>
                <w:rFonts w:ascii="Times New Roman" w:hAnsi="Times New Roman"/>
                <w:sz w:val="20"/>
              </w:rPr>
              <w:t xml:space="preserve">were both RMB1.63 for the six months ended June 30, 2026. Each ADS represents two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Non-GAAP basic and diluted net loss per ADS </w:t>
            </w:r>
            <w:r>
              <w:rPr>
                <w:rFonts w:ascii="Times New Roman" w:hAnsi="Times New Roman"/>
                <w:sz w:val="20"/>
              </w:rPr>
              <w:t xml:space="preserve">were both RMB3.06 and </w:t>
            </w:r>
            <w:r>
              <w:rPr>
                <w:rFonts w:ascii="Times New Roman" w:hAnsi="Times New Roman"/>
                <w:b/>
                <w:sz w:val="20"/>
              </w:rPr>
              <w:t xml:space="preserve">non-GAAP basic and diluted net loss per ordinary share </w:t>
            </w:r>
            <w:r>
              <w:rPr>
                <w:rFonts w:ascii="Times New Roman" w:hAnsi="Times New Roman"/>
                <w:sz w:val="20"/>
              </w:rPr>
              <w:t xml:space="preserve">were both RMB1.53 for the six months ended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Cash position</w:t>
            </w:r>
            <w:r>
              <w:rPr>
                <w:rFonts w:ascii="Times New Roman" w:hAnsi="Times New Roman"/>
                <w:sz w:val="20"/>
              </w:rPr>
              <w:t xml:space="preserve">1 was RMB40.48 billion as of June 30, 2026, compared with RMB47.66 billion as of December 31,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MANAGEMENT QUOTES </w:t>
      </w:r>
    </w:p>
    <w:p>
      <w:pPr>
        <w:pStyle w:val="TextBody"/>
        <w:bidi w:val="0"/>
        <w:spacing w:before="120" w:after="0"/>
        <w:jc w:val="left"/>
        <w:rPr/>
      </w:pPr>
      <w:r>
        <w:rPr/>
        <w:t>“</w:t>
      </w:r>
      <w:r>
        <w:rPr>
          <w:rFonts w:ascii="Times New Roman" w:hAnsi="Times New Roman"/>
          <w:sz w:val="20"/>
        </w:rPr>
        <w:t xml:space="preserve">The back-to-back success of the GX and MONA L03 gives us greater confidence in our upcoming new models, as we translate our leading edge in smart technologies and design into more blockbuster products and stronger brand momentum,” said Mr. Xiaopeng He, Chairman and CEO of XPENG. “The development of the mass-production version of XPENG’s humanoid robot has recently reached several significant milestones. I believe XPENG will not only build one of China’s most valuable humanoid robotics companies, but also become a global leader in physical AI, spearheading the large-scale adoption and commercialization of advanced general-purpose humanoid robots and autonomous driving technologies in China and overseas.” </w:t>
      </w:r>
    </w:p>
    <w:p>
      <w:pPr>
        <w:pStyle w:val="TextBody"/>
        <w:bidi w:val="0"/>
        <w:spacing w:before="240" w:after="0"/>
        <w:jc w:val="left"/>
        <w:rPr/>
      </w:pPr>
      <w:r>
        <w:rPr/>
        <w:t>“</w:t>
      </w:r>
      <w:r>
        <w:rPr>
          <w:rFonts w:ascii="Times New Roman" w:hAnsi="Times New Roman"/>
          <w:sz w:val="20"/>
        </w:rPr>
        <w:t xml:space="preserve">During the second quarter of 2026, our operations remained resilient despite industry-wide cost pressures. Driven by breakthroughs in our premiumization and globalization efforts, our gross margin continued to exceed 20%,” added Dr. Hongdi Brian Gu, Vice Chairman and Co-President of XPENG. “I expect the mass production and commercialization of physical AI technologies to accelerate over the coming year, generating meaningful gross profit growth to support our continued R&amp;D investment in physical AI.”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position includes cash and cash equivalents, restricted cash, short-term investments and time deposits. Time deposits include restricted short-term deposits, short-term deposits, current portion and non-current portion of restricted long-term deposits, current portion and non-current portion of long-term deposits.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sz w:val="20"/>
        </w:rPr>
      </w:pPr>
      <w:r>
        <w:rPr>
          <w:rFonts w:ascii="Times New Roman" w:hAnsi="Times New Roman"/>
          <w:b/>
          <w:sz w:val="20"/>
        </w:rPr>
        <w:t xml:space="preserve">Deliveries in July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deliveries were 38,027 vehicles in July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July 31, 2026, year-to-date total deliveries were 204,004 vehicles.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Launch of MONA L03 </w:t>
      </w:r>
    </w:p>
    <w:p>
      <w:pPr>
        <w:pStyle w:val="TextBody"/>
        <w:bidi w:val="0"/>
        <w:spacing w:before="120" w:after="0"/>
        <w:jc w:val="left"/>
        <w:rPr>
          <w:rFonts w:ascii="Times New Roman" w:hAnsi="Times New Roman"/>
          <w:sz w:val="20"/>
        </w:rPr>
      </w:pPr>
      <w:r>
        <w:rPr>
          <w:rFonts w:ascii="Times New Roman" w:hAnsi="Times New Roman"/>
          <w:sz w:val="20"/>
        </w:rPr>
        <w:t xml:space="preserve">On July 16, 2026, XPENG held the global launch event of MONA L03, the Next-Gen AI SUV Coupe, in Munich, Germany. </w:t>
      </w:r>
    </w:p>
    <w:p>
      <w:pPr>
        <w:pStyle w:val="TextBody"/>
        <w:bidi w:val="0"/>
        <w:spacing w:before="360" w:after="0"/>
        <w:jc w:val="left"/>
        <w:rPr>
          <w:rFonts w:ascii="Times New Roman" w:hAnsi="Times New Roman"/>
          <w:b/>
          <w:sz w:val="20"/>
        </w:rPr>
      </w:pPr>
      <w:r>
        <w:rPr>
          <w:rFonts w:ascii="Times New Roman" w:hAnsi="Times New Roman"/>
          <w:b/>
          <w:sz w:val="20"/>
        </w:rPr>
        <w:t xml:space="preserve">Entering into the Dogotix Share Purchase Agreement </w:t>
      </w:r>
    </w:p>
    <w:p>
      <w:pPr>
        <w:pStyle w:val="TextBody"/>
        <w:bidi w:val="0"/>
        <w:spacing w:before="120" w:after="0"/>
        <w:jc w:val="left"/>
        <w:rPr>
          <w:rFonts w:ascii="Times New Roman" w:hAnsi="Times New Roman"/>
          <w:sz w:val="20"/>
        </w:rPr>
      </w:pPr>
      <w:r>
        <w:rPr>
          <w:rFonts w:ascii="Times New Roman" w:hAnsi="Times New Roman"/>
          <w:sz w:val="20"/>
        </w:rPr>
        <w:t>On August 24, 2026, Dogotix Inc. (a subsidiary of the Company) entered into a share purchase agreement (the “</w:t>
      </w:r>
      <w:r>
        <w:rPr>
          <w:rFonts w:ascii="Times New Roman" w:hAnsi="Times New Roman"/>
          <w:b/>
          <w:sz w:val="20"/>
        </w:rPr>
        <w:t>Dogotix Share Purchase Agreement</w:t>
      </w:r>
      <w:r>
        <w:rPr>
          <w:rFonts w:ascii="Times New Roman" w:hAnsi="Times New Roman"/>
          <w:sz w:val="20"/>
        </w:rPr>
        <w:t xml:space="preserve">”) with, among others, certain subscribers, pursuant to which such subscribers conditionally agreed to subscribe for certain shares to be newly issued by Dogotix Inc. at an aggregate purchase price of US$900 million. For details, please refer to the announcement of the Company dated August 24, 2026, in relation to, among others, the Dogotix Share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UNAUDITED FINANCIAL RESULTS FOR THE SIX MONTHS ENDED JUNE 30, 2026 </w:t>
      </w:r>
    </w:p>
    <w:p>
      <w:pPr>
        <w:pStyle w:val="TextBody"/>
        <w:bidi w:val="0"/>
        <w:spacing w:before="120" w:after="0"/>
        <w:jc w:val="left"/>
        <w:rPr>
          <w:rFonts w:ascii="Times New Roman" w:hAnsi="Times New Roman"/>
          <w:sz w:val="20"/>
        </w:rPr>
      </w:pPr>
      <w:r>
        <w:rPr>
          <w:rFonts w:ascii="Times New Roman" w:hAnsi="Times New Roman"/>
          <w:b/>
          <w:sz w:val="20"/>
        </w:rPr>
        <w:t xml:space="preserve">Total revenues </w:t>
      </w:r>
      <w:r>
        <w:rPr>
          <w:rFonts w:ascii="Times New Roman" w:hAnsi="Times New Roman"/>
          <w:sz w:val="20"/>
        </w:rPr>
        <w:t xml:space="preserve">were RMB32.78 billion in the six months ended June 30, 2026, representing a decrease of 3.8% from RMB34.09 billion in the six months ended June 30, 2025. </w:t>
      </w:r>
    </w:p>
    <w:p>
      <w:pPr>
        <w:pStyle w:val="TextBody"/>
        <w:bidi w:val="0"/>
        <w:spacing w:before="240" w:after="0"/>
        <w:jc w:val="left"/>
        <w:rPr>
          <w:rFonts w:ascii="Times New Roman" w:hAnsi="Times New Roman"/>
          <w:sz w:val="20"/>
        </w:rPr>
      </w:pPr>
      <w:r>
        <w:rPr>
          <w:rFonts w:ascii="Times New Roman" w:hAnsi="Times New Roman"/>
          <w:i/>
          <w:sz w:val="20"/>
        </w:rPr>
        <w:t xml:space="preserve">Revenues from vehicle sales </w:t>
      </w:r>
      <w:r>
        <w:rPr>
          <w:rFonts w:ascii="Times New Roman" w:hAnsi="Times New Roman"/>
          <w:sz w:val="20"/>
        </w:rPr>
        <w:t xml:space="preserve">were RMB28.05 billion in the six months ended June 30, 2026, representing a decrease of 10.3% from RMB31.25 billion in the six months ended June 30, 2025. The year-over-year decrease was mainly attributable to lower vehicle deliveries. </w:t>
      </w:r>
    </w:p>
    <w:p>
      <w:pPr>
        <w:pStyle w:val="TextBody"/>
        <w:bidi w:val="0"/>
        <w:spacing w:before="240" w:after="0"/>
        <w:jc w:val="left"/>
        <w:rPr>
          <w:rFonts w:ascii="Times New Roman" w:hAnsi="Times New Roman"/>
          <w:sz w:val="20"/>
        </w:rPr>
      </w:pPr>
      <w:r>
        <w:rPr>
          <w:rFonts w:ascii="Times New Roman" w:hAnsi="Times New Roman"/>
          <w:i/>
          <w:sz w:val="20"/>
        </w:rPr>
        <w:t xml:space="preserve">Revenues from services and others </w:t>
      </w:r>
      <w:r>
        <w:rPr>
          <w:rFonts w:ascii="Times New Roman" w:hAnsi="Times New Roman"/>
          <w:sz w:val="20"/>
        </w:rPr>
        <w:t>were RMB4.73 billion in the six months ended June 30, 2026, representing an increase of 67.1% from RMB2.83 billion in the six months ended June 30, 2025. The year-over-year increase was primarily attributable to the increased revenues from (i) technical research and development services (“</w:t>
      </w:r>
      <w:r>
        <w:rPr>
          <w:rFonts w:ascii="Times New Roman" w:hAnsi="Times New Roman"/>
          <w:b/>
          <w:sz w:val="20"/>
        </w:rPr>
        <w:t>technical R&amp;D services</w:t>
      </w:r>
      <w:r>
        <w:rPr>
          <w:rFonts w:ascii="Times New Roman" w:hAnsi="Times New Roman"/>
          <w:sz w:val="20"/>
        </w:rPr>
        <w:t>”) rendered to a car manufacturer (the “</w:t>
      </w:r>
      <w:r>
        <w:rPr>
          <w:rFonts w:ascii="Times New Roman" w:hAnsi="Times New Roman"/>
          <w:b/>
          <w:sz w:val="20"/>
        </w:rPr>
        <w:t>Manufacturer</w:t>
      </w:r>
      <w:r>
        <w:rPr>
          <w:rFonts w:ascii="Times New Roman" w:hAnsi="Times New Roman"/>
          <w:sz w:val="20"/>
        </w:rPr>
        <w:t xml:space="preserve">”) with the successful achievement of certain key milestones in the current period, under the agreement entered into with the Manufacturer; and (ii) parts and accessories sales in line with higher accumulated vehicle sales. </w:t>
      </w:r>
    </w:p>
    <w:p>
      <w:pPr>
        <w:pStyle w:val="TextBody"/>
        <w:bidi w:val="0"/>
        <w:spacing w:before="240" w:after="0"/>
        <w:jc w:val="left"/>
        <w:rPr>
          <w:rFonts w:ascii="Times New Roman" w:hAnsi="Times New Roman"/>
          <w:sz w:val="20"/>
        </w:rPr>
      </w:pPr>
      <w:r>
        <w:rPr>
          <w:rFonts w:ascii="Times New Roman" w:hAnsi="Times New Roman"/>
          <w:b/>
          <w:sz w:val="20"/>
        </w:rPr>
        <w:t xml:space="preserve">Cost of sales </w:t>
      </w:r>
      <w:r>
        <w:rPr>
          <w:rFonts w:ascii="Times New Roman" w:hAnsi="Times New Roman"/>
          <w:sz w:val="20"/>
        </w:rPr>
        <w:t xml:space="preserve">was RMB26.01 billion in the six months ended June 30, 2026, representing a decrease of 8.6% from RMB28.46 billion in the six months ended June 30, 2025. The year-over-year decrease was mainly in line with vehicle deliveries as described above. </w:t>
      </w:r>
    </w:p>
    <w:p>
      <w:pPr>
        <w:pStyle w:val="TextBody"/>
        <w:bidi w:val="0"/>
        <w:spacing w:before="240" w:after="0"/>
        <w:jc w:val="left"/>
        <w:rPr>
          <w:rFonts w:ascii="Times New Roman" w:hAnsi="Times New Roman"/>
          <w:sz w:val="20"/>
        </w:rPr>
      </w:pPr>
      <w:r>
        <w:rPr>
          <w:rFonts w:ascii="Times New Roman" w:hAnsi="Times New Roman"/>
          <w:b/>
          <w:sz w:val="20"/>
        </w:rPr>
        <w:t xml:space="preserve">Gross margin </w:t>
      </w:r>
      <w:r>
        <w:rPr>
          <w:rFonts w:ascii="Times New Roman" w:hAnsi="Times New Roman"/>
          <w:sz w:val="20"/>
        </w:rPr>
        <w:t xml:space="preserve">was 20.6% in the six months ended June 30, 2026, compared with 16.5% in the six months ended June 30, 2025. </w:t>
      </w:r>
    </w:p>
    <w:p>
      <w:pPr>
        <w:pStyle w:val="TextBody"/>
        <w:bidi w:val="0"/>
        <w:spacing w:before="240" w:after="0"/>
        <w:jc w:val="left"/>
        <w:rPr>
          <w:rFonts w:ascii="Times New Roman" w:hAnsi="Times New Roman"/>
          <w:sz w:val="20"/>
        </w:rPr>
      </w:pPr>
      <w:r>
        <w:rPr>
          <w:rFonts w:ascii="Times New Roman" w:hAnsi="Times New Roman"/>
          <w:b/>
          <w:sz w:val="20"/>
        </w:rPr>
        <w:t xml:space="preserve">Vehicle margin </w:t>
      </w:r>
      <w:r>
        <w:rPr>
          <w:rFonts w:ascii="Times New Roman" w:hAnsi="Times New Roman"/>
          <w:sz w:val="20"/>
        </w:rPr>
        <w:t xml:space="preserve">was 12.1% in the six months ended June 30, 2026, compared with 12.6% in the six months ended June 30, 2025. </w:t>
      </w:r>
    </w:p>
    <w:p>
      <w:pPr>
        <w:pStyle w:val="TextBody"/>
        <w:bidi w:val="0"/>
        <w:spacing w:before="240" w:after="0"/>
        <w:jc w:val="left"/>
        <w:rPr>
          <w:rFonts w:ascii="Times New Roman" w:hAnsi="Times New Roman"/>
          <w:sz w:val="20"/>
        </w:rPr>
      </w:pPr>
      <w:r>
        <w:rPr>
          <w:rFonts w:ascii="Times New Roman" w:hAnsi="Times New Roman"/>
          <w:b/>
          <w:sz w:val="20"/>
        </w:rPr>
        <w:t xml:space="preserve">Services and others margin </w:t>
      </w:r>
      <w:r>
        <w:rPr>
          <w:rFonts w:ascii="Times New Roman" w:hAnsi="Times New Roman"/>
          <w:sz w:val="20"/>
        </w:rPr>
        <w:t xml:space="preserve">was 71.4% in the six months ended June 30, 2026, compared with 60.1% in the six months ended June 30, 2025. The year-over-year increase was primarily attributable to the aforementioned revenue from technical R&amp;D services and parts and accessories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Research and development expenses </w:t>
      </w:r>
      <w:r>
        <w:rPr>
          <w:rFonts w:ascii="Times New Roman" w:hAnsi="Times New Roman"/>
          <w:sz w:val="20"/>
        </w:rPr>
        <w:t xml:space="preserve">were RMB5.82 billion in the six months ended June 30, 2026, representing an increase of 39.0% from RMB4.19 billion in the six months ended June 30, 2025. The year-over-year increase was mainly due to higher expenses related to the development of new vehicle models and AI-related technologies as the Company expanded its product portfolio to support future growth. </w:t>
      </w:r>
    </w:p>
    <w:p>
      <w:pPr>
        <w:pStyle w:val="TextBody"/>
        <w:bidi w:val="0"/>
        <w:spacing w:before="240" w:after="0"/>
        <w:jc w:val="left"/>
        <w:rPr>
          <w:rFonts w:ascii="Times New Roman" w:hAnsi="Times New Roman"/>
          <w:sz w:val="20"/>
        </w:rPr>
      </w:pPr>
      <w:r>
        <w:rPr>
          <w:rFonts w:ascii="Times New Roman" w:hAnsi="Times New Roman"/>
          <w:b/>
          <w:sz w:val="20"/>
        </w:rPr>
        <w:t xml:space="preserve">Selling, general and administrative expenses </w:t>
      </w:r>
      <w:r>
        <w:rPr>
          <w:rFonts w:ascii="Times New Roman" w:hAnsi="Times New Roman"/>
          <w:sz w:val="20"/>
        </w:rPr>
        <w:t xml:space="preserve">were RMB4.38 billion in the six months ended June 30, 2026, representing an increase of 6.5% from RMB4.11 billion in the six months ended June 30, 2025. The year-over-year increase was mainly due to higher marketing and advertising expenses. </w:t>
      </w:r>
    </w:p>
    <w:p>
      <w:pPr>
        <w:pStyle w:val="TextBody"/>
        <w:bidi w:val="0"/>
        <w:spacing w:before="240" w:after="0"/>
        <w:jc w:val="left"/>
        <w:rPr>
          <w:rFonts w:ascii="Times New Roman" w:hAnsi="Times New Roman"/>
          <w:sz w:val="20"/>
        </w:rPr>
      </w:pPr>
      <w:r>
        <w:rPr>
          <w:rFonts w:ascii="Times New Roman" w:hAnsi="Times New Roman"/>
          <w:b/>
          <w:sz w:val="20"/>
        </w:rPr>
        <w:t xml:space="preserve">Other income, net </w:t>
      </w:r>
      <w:r>
        <w:rPr>
          <w:rFonts w:ascii="Times New Roman" w:hAnsi="Times New Roman"/>
          <w:sz w:val="20"/>
        </w:rPr>
        <w:t xml:space="preserve">was RMB0.32 billion in the six months ended June 30, 2026, representing a decrease of 59.1% from RMB0.78 billion in the six months ended June 30, 2025. The year-over-year decrease was primarily due to the decrease in receipt of government subsidies. </w:t>
      </w:r>
    </w:p>
    <w:p>
      <w:pPr>
        <w:pStyle w:val="TextBody"/>
        <w:bidi w:val="0"/>
        <w:spacing w:before="240" w:after="0"/>
        <w:jc w:val="left"/>
        <w:rPr>
          <w:rFonts w:ascii="Times New Roman" w:hAnsi="Times New Roman"/>
          <w:sz w:val="20"/>
        </w:rPr>
      </w:pPr>
      <w:r>
        <w:rPr>
          <w:rFonts w:ascii="Times New Roman" w:hAnsi="Times New Roman"/>
          <w:b/>
          <w:sz w:val="20"/>
        </w:rPr>
        <w:t xml:space="preserve">Fair value gain (loss) on derivative liability relating to the contingent consideration </w:t>
      </w:r>
      <w:r>
        <w:rPr>
          <w:rFonts w:ascii="Times New Roman" w:hAnsi="Times New Roman"/>
          <w:sz w:val="20"/>
        </w:rPr>
        <w:t>was a gain of RMB0.10 billion in the six months ended June 30, 2026, compared with a loss of RMB0.08 billion in the six months ended June 30, 2025. This non-cash gain resulted from the fair value change of the contingent consideration related to the acquisition of DiDi Global Inc. (“</w:t>
      </w:r>
      <w:r>
        <w:rPr>
          <w:rFonts w:ascii="Times New Roman" w:hAnsi="Times New Roman"/>
          <w:b/>
          <w:sz w:val="20"/>
        </w:rPr>
        <w:t>DiDi</w:t>
      </w:r>
      <w:r>
        <w:rPr>
          <w:rFonts w:ascii="Times New Roman" w:hAnsi="Times New Roman"/>
          <w:sz w:val="20"/>
        </w:rPr>
        <w:t xml:space="preserve">”)’s smart auto business. </w:t>
      </w:r>
    </w:p>
    <w:p>
      <w:pPr>
        <w:pStyle w:val="TextBody"/>
        <w:bidi w:val="0"/>
        <w:spacing w:before="240" w:after="0"/>
        <w:jc w:val="left"/>
        <w:rPr>
          <w:rFonts w:ascii="Times New Roman" w:hAnsi="Times New Roman"/>
          <w:sz w:val="20"/>
        </w:rPr>
      </w:pPr>
      <w:r>
        <w:rPr>
          <w:rFonts w:ascii="Times New Roman" w:hAnsi="Times New Roman"/>
          <w:b/>
          <w:sz w:val="20"/>
        </w:rPr>
        <w:t xml:space="preserve">Loss from operations </w:t>
      </w:r>
      <w:r>
        <w:rPr>
          <w:rFonts w:ascii="Times New Roman" w:hAnsi="Times New Roman"/>
          <w:sz w:val="20"/>
        </w:rPr>
        <w:t xml:space="preserve">was RMB3.02 billion in the six months ended June 30, 2026, compared with RMB1.98 billion in the six months ended June 30, 2025. </w:t>
      </w:r>
    </w:p>
    <w:p>
      <w:pPr>
        <w:pStyle w:val="TextBody"/>
        <w:bidi w:val="0"/>
        <w:spacing w:before="240" w:after="0"/>
        <w:jc w:val="left"/>
        <w:rPr>
          <w:rFonts w:ascii="Times New Roman" w:hAnsi="Times New Roman"/>
          <w:sz w:val="20"/>
        </w:rPr>
      </w:pPr>
      <w:r>
        <w:rPr>
          <w:rFonts w:ascii="Times New Roman" w:hAnsi="Times New Roman"/>
          <w:b/>
          <w:sz w:val="20"/>
        </w:rPr>
        <w:t>Non-GAAP loss from operations</w:t>
      </w:r>
      <w:r>
        <w:rPr>
          <w:rFonts w:ascii="Times New Roman" w:hAnsi="Times New Roman"/>
          <w:sz w:val="20"/>
        </w:rPr>
        <w:t xml:space="preserve">, which excludes share-based compensation expenses and fair value (gain) loss on derivative liability relating to the contingent consideration, was RMB2.82 billion in the six months ended June 30, 2026, compared with RMB1.65 billion in the six months ended June 30, 2025. </w:t>
      </w:r>
    </w:p>
    <w:p>
      <w:pPr>
        <w:pStyle w:val="TextBody"/>
        <w:bidi w:val="0"/>
        <w:spacing w:before="24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was RMB3.12 billion in the six months ended June 30, 2026, compared with RMB1.14 billion in the six months ended June 30, 2025. </w:t>
      </w:r>
    </w:p>
    <w:p>
      <w:pPr>
        <w:pStyle w:val="TextBody"/>
        <w:bidi w:val="0"/>
        <w:spacing w:before="240" w:after="0"/>
        <w:jc w:val="left"/>
        <w:rPr>
          <w:rFonts w:ascii="Times New Roman" w:hAnsi="Times New Roman"/>
          <w:sz w:val="20"/>
        </w:rPr>
      </w:pPr>
      <w:r>
        <w:rPr>
          <w:rFonts w:ascii="Times New Roman" w:hAnsi="Times New Roman"/>
          <w:b/>
          <w:sz w:val="20"/>
        </w:rPr>
        <w:t>Non-GAAP net loss</w:t>
      </w:r>
      <w:r>
        <w:rPr>
          <w:rFonts w:ascii="Times New Roman" w:hAnsi="Times New Roman"/>
          <w:sz w:val="20"/>
        </w:rPr>
        <w:t xml:space="preserve">, which excludes share-based compensation expenses and fair value (gain) loss on derivative liability relating to the contingent consideration, was RMB2.92 billion in the six months ended June 30, 2026, compared with RMB0.81 billion in the six months ended June 30, 2025. </w:t>
      </w:r>
    </w:p>
    <w:p>
      <w:pPr>
        <w:pStyle w:val="TextBody"/>
        <w:bidi w:val="0"/>
        <w:spacing w:before="240" w:after="0"/>
        <w:jc w:val="left"/>
        <w:rPr>
          <w:rFonts w:ascii="Times New Roman" w:hAnsi="Times New Roman"/>
          <w:sz w:val="20"/>
        </w:rPr>
      </w:pPr>
      <w:r>
        <w:rPr>
          <w:rFonts w:ascii="Times New Roman" w:hAnsi="Times New Roman"/>
          <w:b/>
          <w:sz w:val="20"/>
        </w:rPr>
        <w:t xml:space="preserve">Net loss attributable to ordinary shareholders of XPENG </w:t>
      </w:r>
      <w:r>
        <w:rPr>
          <w:rFonts w:ascii="Times New Roman" w:hAnsi="Times New Roman"/>
          <w:sz w:val="20"/>
        </w:rPr>
        <w:t xml:space="preserve">was RMB3.12 billion in the six months ended June 30, 2026, compared with RMB1.14 billion in the six months ended June 30, 2025. </w:t>
      </w:r>
    </w:p>
    <w:p>
      <w:pPr>
        <w:pStyle w:val="TextBody"/>
        <w:bidi w:val="0"/>
        <w:spacing w:before="240" w:after="0"/>
        <w:jc w:val="left"/>
        <w:rPr>
          <w:rFonts w:ascii="Times New Roman" w:hAnsi="Times New Roman"/>
          <w:sz w:val="20"/>
        </w:rPr>
      </w:pPr>
      <w:r>
        <w:rPr>
          <w:rFonts w:ascii="Times New Roman" w:hAnsi="Times New Roman"/>
          <w:b/>
          <w:sz w:val="20"/>
        </w:rPr>
        <w:t>Non-GAAP net loss attributable to ordinary shareholders of XPENG</w:t>
      </w:r>
      <w:r>
        <w:rPr>
          <w:rFonts w:ascii="Times New Roman" w:hAnsi="Times New Roman"/>
          <w:sz w:val="20"/>
        </w:rPr>
        <w:t xml:space="preserve">, which excludes share-based compensation expenses and fair value (gain) loss on derivative liability relating to the contingent consideration, was RMB2.92 billion in the six months ended June 30, 2026, compared with RMB0.81 billion in the six months ended June 30, 2025. </w:t>
      </w:r>
    </w:p>
    <w:p>
      <w:pPr>
        <w:pStyle w:val="TextBody"/>
        <w:bidi w:val="0"/>
        <w:spacing w:before="240" w:after="0"/>
        <w:jc w:val="left"/>
        <w:rPr>
          <w:rFonts w:ascii="Times New Roman" w:hAnsi="Times New Roman"/>
          <w:sz w:val="20"/>
        </w:rPr>
      </w:pPr>
      <w:r>
        <w:rPr>
          <w:rFonts w:ascii="Times New Roman" w:hAnsi="Times New Roman"/>
          <w:b/>
          <w:sz w:val="20"/>
        </w:rPr>
        <w:t xml:space="preserve">Basic and diluted net loss per ADS </w:t>
      </w:r>
      <w:r>
        <w:rPr>
          <w:rFonts w:ascii="Times New Roman" w:hAnsi="Times New Roman"/>
          <w:sz w:val="20"/>
        </w:rPr>
        <w:t xml:space="preserve">were both RMB3.27 in the six months ended June 30, 2026, compared with RMB1.20 in the six months ended June 30, 2025. </w:t>
      </w:r>
    </w:p>
    <w:p>
      <w:pPr>
        <w:pStyle w:val="TextBody"/>
        <w:bidi w:val="0"/>
        <w:spacing w:before="240" w:after="0"/>
        <w:jc w:val="left"/>
        <w:rPr>
          <w:rFonts w:ascii="Times New Roman" w:hAnsi="Times New Roman"/>
          <w:sz w:val="20"/>
        </w:rPr>
      </w:pPr>
      <w:r>
        <w:rPr>
          <w:rFonts w:ascii="Times New Roman" w:hAnsi="Times New Roman"/>
          <w:b/>
          <w:sz w:val="20"/>
        </w:rPr>
        <w:t xml:space="preserve">Non-GAAP basic and diluted net loss per ADS </w:t>
      </w:r>
      <w:r>
        <w:rPr>
          <w:rFonts w:ascii="Times New Roman" w:hAnsi="Times New Roman"/>
          <w:sz w:val="20"/>
        </w:rPr>
        <w:t xml:space="preserve">were both RMB3.06 in the six months ended June 30, 2026, compared with RMB0.85 in the six months ended June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Balance Sheets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 had a cash position of RMB40.48 billion, compared with RMB47.66 billion as of December 31, 2025. </w:t>
      </w:r>
    </w:p>
    <w:p>
      <w:pPr>
        <w:pStyle w:val="TextBody"/>
        <w:bidi w:val="0"/>
        <w:spacing w:before="120" w:after="0"/>
        <w:jc w:val="left"/>
        <w:rPr>
          <w:rFonts w:ascii="Times New Roman" w:hAnsi="Times New Roman"/>
          <w:b/>
          <w:sz w:val="20"/>
        </w:rPr>
      </w:pPr>
      <w:r>
        <w:rPr>
          <w:rFonts w:ascii="Times New Roman" w:hAnsi="Times New Roman"/>
          <w:b/>
          <w:sz w:val="20"/>
        </w:rPr>
        <w:t xml:space="preserve">BUSINESS OUTLOOK </w:t>
      </w:r>
    </w:p>
    <w:p>
      <w:pPr>
        <w:pStyle w:val="TextBody"/>
        <w:bidi w:val="0"/>
        <w:spacing w:before="120" w:after="0"/>
        <w:jc w:val="left"/>
        <w:rPr>
          <w:rFonts w:ascii="Times New Roman" w:hAnsi="Times New Roman"/>
          <w:sz w:val="20"/>
        </w:rPr>
      </w:pPr>
      <w:r>
        <w:rPr>
          <w:rFonts w:ascii="Times New Roman" w:hAnsi="Times New Roman"/>
          <w:sz w:val="20"/>
        </w:rPr>
        <w:t xml:space="preserve">For the third quarter of 2026, the Company expects: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Deliveries of vehicles </w:t>
            </w:r>
            <w:r>
              <w:rPr>
                <w:rFonts w:ascii="Times New Roman" w:hAnsi="Times New Roman"/>
                <w:sz w:val="20"/>
              </w:rPr>
              <w:t xml:space="preserve">to be between 115,000 and 121,000, representing a year-over-year change of approximately -0.87% to +4.30%, and a quarter-over-quarter increase of approximately 11.33% to 17.14%.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revenues </w:t>
            </w:r>
            <w:r>
              <w:rPr>
                <w:rFonts w:ascii="Times New Roman" w:hAnsi="Times New Roman"/>
                <w:sz w:val="20"/>
              </w:rPr>
              <w:t xml:space="preserve">to be between RMB21.7 billion and RMB23.4 billion, representing a year-over-year increase of approximately 6.47% to 14.81%, and a quarter-over-quarter increase of approximately 9.91% to 18.52%.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above outlook is based on the current market conditions and reflects the Company’s preliminary estimates of market and operating conditions, and customer demand, which are all subject to change.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DISCUSSION AND ANALYSIS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Liquidity and capital resources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been incurring losses from operations since inception. The Group incurred net losses of RMB3.12 billion and RMB1.14 billion for the six months ended June 30, 2026 and 2025, respectively. Accumulated deficit amounted to RMB45.91 billion as of June 30, 2026. Net cash used in operating activities was approximately RMB11.72 billion for the six months ended June 30, 2026 and net cash provided by operating activities was approximately RMB7.64 billion for the six months ended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Group’s liquidity is based on its ability to enhance its operating cash flow position, obtain capital financing from equity interest investors and borrow funds to fund its general operations, research and development activities and capital expenditures. The Group’s ability to continue as a going concern is dependent on management’s ability to execute its business plan successfully, which includes increasing market acceptance of the Group’s products to boost its sales volume to achieve economies of scale while applying more effective marketing strategies and cost control measures to better manage operating cash flow position and obtaining funds from outside sources of financing to generate positive financing cash flows. With the completion of its initial public offering and follow-on offering on the New York Stock Exchange in August and December 2020, the Group received the net proceeds, after deducting the underwriting discounts and commissions, fees and offering expenses, of RMB11.41 billion and RMB15.98 billion, respectively. In July 2021, with the completion of its global offering, including the Hong Kong Public Offering and the International Offering, on the Hong Kong Stock Exchange, the Group received the net proceeds, after deducting the underwriting discounts and commissions, of HKD15.82 billion. In December 2023, with the completion of the investment by the Volkswagen, the Group received the net proceeds, after deducting related costs and expenses, of RMB5.02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balance of cash and cash equivalents, restricted cash, excluding RMB0.02 billion (December 31, 2025: RMB0.06 billion) restricted as to withdrawal or use for legal disputes, short-term investments and time deposits was RMB40.46 billion (December 31, 2025: RMB47.60 billion).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Interest-bearing bank and other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r>
              <w:rPr>
                <w:b/>
                <w:i/>
              </w:rPr>
              <w:t>(i)</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Short-term bank loans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2026, the Group’s short-term borrowings from banks in the PRC amounted to RMB10.07 billion in aggregate. The effective interest rate of these borrowings was 1.31% per annum. As of December 31, 2025, the Group’s short-term borrowings from banks in the PRC amounted to RMB4.28 billion in aggregate. The effective interest rate of these borrowings was 2.05% per annum.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r>
              <w:rPr>
                <w:b/>
                <w:i/>
              </w:rPr>
              <w:t>(ii)</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Long-term bank loans </w:t>
            </w:r>
          </w:p>
        </w:tc>
      </w:tr>
    </w:tbl>
    <w:p>
      <w:pPr>
        <w:pStyle w:val="TextBody"/>
        <w:bidi w:val="0"/>
        <w:spacing w:before="0" w:after="0"/>
        <w:jc w:val="left"/>
        <w:rPr/>
      </w:pPr>
      <w:r>
        <w:rPr/>
        <w:t> </w:t>
      </w:r>
    </w:p>
    <w:tbl>
      <w:tblPr>
        <w:tblW w:w="13085" w:type="dxa"/>
        <w:jc w:val="center"/>
        <w:tblInd w:w="0" w:type="dxa"/>
        <w:tblLayout w:type="fixed"/>
        <w:tblCellMar>
          <w:top w:w="0" w:type="dxa"/>
          <w:left w:w="0" w:type="dxa"/>
          <w:bottom w:w="0" w:type="dxa"/>
          <w:right w:w="0" w:type="dxa"/>
        </w:tblCellMar>
      </w:tblPr>
      <w:tblGrid>
        <w:gridCol w:w="425"/>
        <w:gridCol w:w="60"/>
        <w:gridCol w:w="1295"/>
        <w:gridCol w:w="60"/>
        <w:gridCol w:w="1055"/>
        <w:gridCol w:w="60"/>
        <w:gridCol w:w="2000"/>
        <w:gridCol w:w="60"/>
        <w:gridCol w:w="1490"/>
        <w:gridCol w:w="60"/>
        <w:gridCol w:w="905"/>
        <w:gridCol w:w="60"/>
        <w:gridCol w:w="1040"/>
        <w:gridCol w:w="60"/>
        <w:gridCol w:w="1820"/>
        <w:gridCol w:w="60"/>
        <w:gridCol w:w="1415"/>
        <w:gridCol w:w="60"/>
        <w:gridCol w:w="1100"/>
      </w:tblGrid>
      <w:tr>
        <w:trPr/>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bottom"/>
          </w:tcPr>
          <w:p>
            <w:pPr>
              <w:pStyle w:val="TableContents"/>
              <w:bidi w:val="0"/>
              <w:spacing w:before="0" w:after="283"/>
              <w:jc w:val="center"/>
              <w:rPr/>
            </w:pPr>
            <w:r>
              <w:rPr/>
              <w:t>Ref.</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left"/>
              <w:rPr/>
            </w:pPr>
            <w:r>
              <w:rPr/>
              <w:t>Company</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20"/>
              <w:jc w:val="center"/>
              <w:rPr>
                <w:rFonts w:ascii="Times New Roman" w:hAnsi="Times New Roman"/>
                <w:b/>
                <w:i/>
                <w:sz w:val="16"/>
              </w:rPr>
            </w:pPr>
            <w:r>
              <w:rPr>
                <w:rFonts w:ascii="Times New Roman" w:hAnsi="Times New Roman"/>
                <w:b/>
                <w:i/>
                <w:sz w:val="16"/>
              </w:rPr>
              <w:t>loan</w:t>
              <w:br/>
              <w:t>RMB in billion</w:t>
            </w:r>
          </w:p>
        </w:tc>
        <w:tc>
          <w:tcPr>
            <w:tcW w:w="60"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center"/>
              <w:rPr/>
            </w:pPr>
            <w:r>
              <w:rPr>
                <w:b/>
              </w:rPr>
              <w:t>As of June 30, 2026</w:t>
              <w:br/>
              <w:t>Current</w:t>
              <w:br/>
              <w:t>portion</w:t>
              <w:br/>
              <w:t>according to</w:t>
              <w:br/>
              <w:t>the repayment</w:t>
              <w:br/>
              <w:t>schedule</w:t>
              <w:br/>
            </w:r>
            <w:r>
              <w:rPr>
                <w:b/>
                <w:i/>
              </w:rPr>
              <w:t>RMB in billion</w:t>
            </w:r>
          </w:p>
        </w:tc>
        <w:tc>
          <w:tcPr>
            <w:tcW w:w="6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center"/>
              <w:rPr/>
            </w:pPr>
            <w:r>
              <w:rPr>
                <w:b/>
              </w:rPr>
              <w:t>Long-term</w:t>
              <w:br/>
              <w:t>portion</w:t>
              <w:br/>
            </w:r>
            <w:r>
              <w:rPr>
                <w:b/>
                <w:i/>
              </w:rPr>
              <w:t>RMB in billion</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b/>
              </w:rPr>
            </w:pPr>
            <w:r>
              <w:rPr>
                <w:b/>
              </w:rPr>
              <w:t>Effective</w:t>
              <w:br/>
              <w:t>interest</w:t>
              <w:br/>
              <w:t>rate</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Outstanding</w:t>
              <w:br/>
              <w:t>loan</w:t>
            </w:r>
          </w:p>
          <w:p>
            <w:pPr>
              <w:pStyle w:val="TableContents"/>
              <w:bidi w:val="0"/>
              <w:spacing w:before="0" w:after="20"/>
              <w:jc w:val="center"/>
              <w:rPr>
                <w:rFonts w:ascii="Times New Roman" w:hAnsi="Times New Roman"/>
                <w:i/>
                <w:sz w:val="16"/>
              </w:rPr>
            </w:pPr>
            <w:r>
              <w:rPr>
                <w:rFonts w:ascii="Times New Roman" w:hAnsi="Times New Roman"/>
                <w:i/>
                <w:sz w:val="16"/>
              </w:rPr>
              <w:t>RMB in billion</w:t>
            </w:r>
          </w:p>
        </w:tc>
        <w:tc>
          <w:tcPr>
            <w:tcW w:w="6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 December 31, 2025</w:t>
              <w:br/>
              <w:t>Current</w:t>
              <w:br/>
              <w:t>portion</w:t>
              <w:br/>
              <w:t>according</w:t>
            </w:r>
          </w:p>
          <w:p>
            <w:pPr>
              <w:pStyle w:val="TableContents"/>
              <w:bidi w:val="0"/>
              <w:spacing w:before="0" w:after="20"/>
              <w:jc w:val="center"/>
              <w:rPr>
                <w:rFonts w:ascii="Times New Roman" w:hAnsi="Times New Roman"/>
                <w:sz w:val="16"/>
              </w:rPr>
            </w:pPr>
            <w:r>
              <w:rPr>
                <w:rFonts w:ascii="Times New Roman" w:hAnsi="Times New Roman"/>
                <w:sz w:val="16"/>
              </w:rPr>
              <w:t>to the</w:t>
              <w:br/>
              <w:t>repayment</w:t>
              <w:br/>
              <w:t>schedule</w:t>
              <w:br/>
            </w:r>
            <w:r>
              <w:rPr>
                <w:rFonts w:ascii="Times New Roman" w:hAnsi="Times New Roman"/>
                <w:i/>
                <w:sz w:val="16"/>
              </w:rPr>
              <w:t>RMB in billion</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Long-term</w:t>
              <w:br/>
              <w:t>portion</w:t>
              <w:br/>
            </w:r>
            <w:r>
              <w:rPr>
                <w:i/>
              </w:rPr>
              <w:t>RMB in billion</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Effective</w:t>
              <w:br/>
              <w:t>interest rate</w:t>
            </w:r>
          </w:p>
        </w:tc>
      </w:tr>
      <w:tr>
        <w:trPr/>
        <w:tc>
          <w:tcPr>
            <w:tcW w:w="425" w:type="dxa"/>
            <w:tcBorders/>
            <w:shd w:fill="CCEEFF" w:val="clear"/>
          </w:tcPr>
          <w:p>
            <w:pPr>
              <w:pStyle w:val="TableContents"/>
              <w:bidi w:val="0"/>
              <w:spacing w:before="0" w:after="283"/>
              <w:jc w:val="left"/>
              <w:rPr/>
            </w:pPr>
            <w:r>
              <w:rPr/>
              <w:t>1</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pPr>
            <w:r>
              <w:rPr/>
              <w:t>Zhaoqing Xiaopeng Motors Co., Ltd.</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0.38</w:t>
            </w:r>
          </w:p>
        </w:tc>
        <w:tc>
          <w:tcPr>
            <w:tcW w:w="60"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b/>
              </w:rPr>
            </w:pPr>
            <w:r>
              <w:rPr>
                <w:b/>
              </w:rPr>
              <w:t>0.01</w:t>
            </w:r>
          </w:p>
        </w:tc>
        <w:tc>
          <w:tcPr>
            <w:tcW w:w="6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b/>
              </w:rPr>
            </w:pPr>
            <w:r>
              <w:rPr>
                <w:b/>
              </w:rPr>
              <w:t>0.37</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b/>
              </w:rPr>
            </w:pPr>
            <w:r>
              <w:rPr>
                <w:b/>
              </w:rPr>
              <w:t>4.00%</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0.51</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0.75</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3.63%</w:t>
            </w:r>
          </w:p>
        </w:tc>
      </w:tr>
      <w:tr>
        <w:trPr/>
        <w:tc>
          <w:tcPr>
            <w:tcW w:w="425" w:type="dxa"/>
            <w:tcBorders/>
          </w:tcPr>
          <w:p>
            <w:pPr>
              <w:pStyle w:val="TableContents"/>
              <w:bidi w:val="0"/>
              <w:spacing w:before="0" w:after="283"/>
              <w:jc w:val="left"/>
              <w:rPr/>
            </w:pPr>
            <w:r>
              <w:rPr/>
              <w:t>2</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left"/>
              <w:rPr/>
            </w:pPr>
            <w:r>
              <w:rPr/>
              <w:t>Zhaoqing Xiaopeng New Energy Investment Co., Ltd.</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3.89</w:t>
            </w:r>
          </w:p>
        </w:tc>
        <w:tc>
          <w:tcPr>
            <w:tcW w:w="60"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b/>
              </w:rPr>
            </w:pPr>
            <w:r>
              <w:rPr>
                <w:b/>
              </w:rPr>
              <w:t>0.12</w:t>
            </w:r>
          </w:p>
        </w:tc>
        <w:tc>
          <w:tcPr>
            <w:tcW w:w="6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b/>
              </w:rPr>
            </w:pPr>
            <w:r>
              <w:rPr>
                <w:b/>
              </w:rPr>
              <w:t>3.77</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b/>
              </w:rPr>
            </w:pPr>
            <w:r>
              <w:rPr>
                <w:b/>
              </w:rPr>
              <w:t>2.41%</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pPr>
            <w:r>
              <w:rPr/>
              <w:t>0.52</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0.76</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3.26%</w:t>
            </w:r>
          </w:p>
        </w:tc>
      </w:tr>
      <w:tr>
        <w:trPr/>
        <w:tc>
          <w:tcPr>
            <w:tcW w:w="425" w:type="dxa"/>
            <w:tcBorders/>
            <w:shd w:fill="CCEEFF" w:val="clear"/>
          </w:tcPr>
          <w:p>
            <w:pPr>
              <w:pStyle w:val="TableContents"/>
              <w:bidi w:val="0"/>
              <w:spacing w:before="0" w:after="283"/>
              <w:jc w:val="left"/>
              <w:rPr/>
            </w:pPr>
            <w:r>
              <w:rPr/>
              <w:t>3</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pPr>
            <w:r>
              <w:rPr/>
              <w:t>Guangzhou Xiaopeng Motors Financing Lease Co., Ltd.</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0.14</w:t>
            </w:r>
          </w:p>
        </w:tc>
        <w:tc>
          <w:tcPr>
            <w:tcW w:w="6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0.14</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3.80%</w:t>
            </w:r>
          </w:p>
        </w:tc>
      </w:tr>
      <w:tr>
        <w:trPr/>
        <w:tc>
          <w:tcPr>
            <w:tcW w:w="425" w:type="dxa"/>
            <w:tcBorders/>
          </w:tcPr>
          <w:p>
            <w:pPr>
              <w:pStyle w:val="TableContents"/>
              <w:bidi w:val="0"/>
              <w:spacing w:before="0" w:after="283"/>
              <w:jc w:val="left"/>
              <w:rPr/>
            </w:pPr>
            <w:r>
              <w:rPr/>
              <w:t>4</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left"/>
              <w:rPr/>
            </w:pPr>
            <w:r>
              <w:rPr/>
              <w:t>Guangdong Xiaopeng Motors Technology Group Co., Ltd.</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1.69</w:t>
            </w:r>
          </w:p>
        </w:tc>
        <w:tc>
          <w:tcPr>
            <w:tcW w:w="60"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b/>
              </w:rPr>
            </w:pPr>
            <w:r>
              <w:rPr>
                <w:b/>
              </w:rPr>
              <w:t>0.11</w:t>
            </w:r>
          </w:p>
        </w:tc>
        <w:tc>
          <w:tcPr>
            <w:tcW w:w="6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b/>
              </w:rPr>
            </w:pPr>
            <w:r>
              <w:rPr>
                <w:b/>
              </w:rPr>
              <w:t>1.58</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b/>
              </w:rPr>
            </w:pPr>
            <w:r>
              <w:rPr>
                <w:b/>
              </w:rPr>
              <w:t>2.25%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1.69</w:t>
            </w:r>
          </w:p>
        </w:tc>
        <w:tc>
          <w:tcPr>
            <w:tcW w:w="6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pPr>
            <w:r>
              <w:rPr/>
              <w:t>0.06</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2.25%</w:t>
            </w:r>
          </w:p>
        </w:tc>
      </w:tr>
      <w:tr>
        <w:trPr/>
        <w:tc>
          <w:tcPr>
            <w:tcW w:w="425" w:type="dxa"/>
            <w:tcBorders/>
            <w:shd w:fill="CCEEFF" w:val="clear"/>
          </w:tcPr>
          <w:p>
            <w:pPr>
              <w:pStyle w:val="TableContents"/>
              <w:bidi w:val="0"/>
              <w:spacing w:before="0" w:after="283"/>
              <w:jc w:val="left"/>
              <w:rPr/>
            </w:pPr>
            <w:r>
              <w:rPr/>
              <w:t>5</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pPr>
            <w:r>
              <w:rPr/>
              <w:t>Xiaopeng Motors Huazhong (Wuhan) Co., Ltd.</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2.01</w:t>
            </w:r>
          </w:p>
        </w:tc>
        <w:tc>
          <w:tcPr>
            <w:tcW w:w="60"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b/>
              </w:rPr>
            </w:pPr>
            <w:r>
              <w:rPr>
                <w:b/>
              </w:rPr>
              <w:t>0.25</w:t>
            </w:r>
          </w:p>
        </w:tc>
        <w:tc>
          <w:tcPr>
            <w:tcW w:w="6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b/>
              </w:rPr>
            </w:pPr>
            <w:r>
              <w:rPr>
                <w:b/>
              </w:rPr>
              <w:t>1.76</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b/>
              </w:rPr>
            </w:pPr>
            <w:r>
              <w:rPr>
                <w:b/>
              </w:rPr>
              <w:t>3.15%</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0.22</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1.88</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3.15%</w:t>
            </w:r>
          </w:p>
        </w:tc>
      </w:tr>
      <w:tr>
        <w:trPr/>
        <w:tc>
          <w:tcPr>
            <w:tcW w:w="425" w:type="dxa"/>
            <w:tcBorders/>
          </w:tcPr>
          <w:p>
            <w:pPr>
              <w:pStyle w:val="TableContents"/>
              <w:bidi w:val="0"/>
              <w:spacing w:before="0" w:after="283"/>
              <w:jc w:val="left"/>
              <w:rPr/>
            </w:pPr>
            <w:r>
              <w:rPr/>
              <w:t>6</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left"/>
              <w:rPr/>
            </w:pPr>
            <w:r>
              <w:rPr/>
              <w:t>Guangzhou Pengyue Automobile Development Co., Ltd.</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0.91</w:t>
            </w:r>
          </w:p>
        </w:tc>
        <w:tc>
          <w:tcPr>
            <w:tcW w:w="60"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b/>
              </w:rPr>
            </w:pPr>
            <w:r>
              <w:rPr>
                <w:b/>
              </w:rPr>
              <w:t>0.02</w:t>
            </w:r>
          </w:p>
        </w:tc>
        <w:tc>
          <w:tcPr>
            <w:tcW w:w="6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b/>
              </w:rPr>
            </w:pPr>
            <w:r>
              <w:rPr>
                <w:b/>
              </w:rPr>
              <w:t>0.89</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b/>
              </w:rPr>
            </w:pPr>
            <w:r>
              <w:rPr>
                <w:b/>
              </w:rPr>
              <w:t>3.05%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0.87</w:t>
            </w:r>
          </w:p>
        </w:tc>
        <w:tc>
          <w:tcPr>
            <w:tcW w:w="6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pPr>
            <w:r>
              <w:rPr/>
              <w:t>0.02</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0.85</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3.08%</w:t>
            </w:r>
          </w:p>
        </w:tc>
      </w:tr>
      <w:tr>
        <w:trPr/>
        <w:tc>
          <w:tcPr>
            <w:tcW w:w="425" w:type="dxa"/>
            <w:tcBorders/>
            <w:shd w:fill="CCEEFF" w:val="clear"/>
          </w:tcPr>
          <w:p>
            <w:pPr>
              <w:pStyle w:val="TableContents"/>
              <w:bidi w:val="0"/>
              <w:spacing w:before="0" w:after="283"/>
              <w:jc w:val="left"/>
              <w:rPr/>
            </w:pPr>
            <w:r>
              <w:rPr/>
              <w:t>7</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pPr>
            <w:r>
              <w:rPr/>
              <w:t>Guangzhou Xiaopeng New Energy Motors Co., Ltd.</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0.76</w:t>
            </w:r>
          </w:p>
        </w:tc>
        <w:tc>
          <w:tcPr>
            <w:tcW w:w="60"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b/>
              </w:rPr>
            </w:pPr>
            <w:r>
              <w:rPr>
                <w:b/>
              </w:rPr>
              <w:t>0.15</w:t>
            </w:r>
          </w:p>
        </w:tc>
        <w:tc>
          <w:tcPr>
            <w:tcW w:w="6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b/>
              </w:rPr>
            </w:pPr>
            <w:r>
              <w:rPr>
                <w:b/>
              </w:rPr>
              <w:t>0.61</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b/>
              </w:rPr>
            </w:pPr>
            <w:r>
              <w:rPr>
                <w:b/>
              </w:rPr>
              <w:t>3.87%</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0.82</w:t>
            </w:r>
          </w:p>
        </w:tc>
        <w:tc>
          <w:tcPr>
            <w:tcW w:w="6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0.10</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0.72</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4.00%</w:t>
            </w:r>
          </w:p>
        </w:tc>
      </w:tr>
      <w:tr>
        <w:trPr/>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0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9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82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r>
      <w:tr>
        <w:trPr/>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right"/>
              <w:rPr>
                <w:b/>
              </w:rPr>
            </w:pPr>
            <w:r>
              <w:rPr>
                <w:b/>
              </w:rPr>
              <w:t>9.64</w:t>
            </w:r>
          </w:p>
        </w:tc>
        <w:tc>
          <w:tcPr>
            <w:tcW w:w="60" w:type="dxa"/>
            <w:tcBorders/>
            <w:vAlign w:val="bottom"/>
          </w:tcPr>
          <w:p>
            <w:pPr>
              <w:pStyle w:val="TableContents"/>
              <w:bidi w:val="0"/>
              <w:spacing w:before="0" w:after="283"/>
              <w:jc w:val="left"/>
              <w:rPr/>
            </w:pPr>
            <w:r>
              <w:rPr/>
              <w:t> </w:t>
            </w:r>
          </w:p>
        </w:tc>
        <w:tc>
          <w:tcPr>
            <w:tcW w:w="2000" w:type="dxa"/>
            <w:tcBorders/>
          </w:tcPr>
          <w:p>
            <w:pPr>
              <w:pStyle w:val="TableContents"/>
              <w:bidi w:val="0"/>
              <w:spacing w:before="0" w:after="283"/>
              <w:jc w:val="right"/>
              <w:rPr>
                <w:b/>
              </w:rPr>
            </w:pPr>
            <w:r>
              <w:rPr>
                <w:b/>
              </w:rPr>
              <w:t>0.66</w:t>
            </w:r>
          </w:p>
        </w:tc>
        <w:tc>
          <w:tcPr>
            <w:tcW w:w="60" w:type="dxa"/>
            <w:tcBorders/>
            <w:vAlign w:val="bottom"/>
          </w:tcPr>
          <w:p>
            <w:pPr>
              <w:pStyle w:val="TableContents"/>
              <w:bidi w:val="0"/>
              <w:spacing w:before="0" w:after="283"/>
              <w:jc w:val="left"/>
              <w:rPr/>
            </w:pPr>
            <w:r>
              <w:rPr/>
              <w:t> </w:t>
            </w:r>
          </w:p>
        </w:tc>
        <w:tc>
          <w:tcPr>
            <w:tcW w:w="1490" w:type="dxa"/>
            <w:tcBorders/>
          </w:tcPr>
          <w:p>
            <w:pPr>
              <w:pStyle w:val="TableContents"/>
              <w:bidi w:val="0"/>
              <w:spacing w:before="0" w:after="283"/>
              <w:jc w:val="right"/>
              <w:rPr>
                <w:b/>
              </w:rPr>
            </w:pPr>
            <w:r>
              <w:rPr>
                <w:b/>
              </w:rPr>
              <w:t>8.98</w:t>
            </w:r>
          </w:p>
        </w:tc>
        <w:tc>
          <w:tcPr>
            <w:tcW w:w="60" w:type="dxa"/>
            <w:tcBorders/>
            <w:vAlign w:val="bottom"/>
          </w:tcPr>
          <w:p>
            <w:pPr>
              <w:pStyle w:val="TableContents"/>
              <w:bidi w:val="0"/>
              <w:spacing w:before="0" w:after="283"/>
              <w:jc w:val="left"/>
              <w:rPr/>
            </w:pPr>
            <w:r>
              <w:rPr/>
              <w:t> </w:t>
            </w:r>
          </w:p>
        </w:tc>
        <w:tc>
          <w:tcPr>
            <w:tcW w:w="905" w:type="dxa"/>
            <w:tcBorders/>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8.16</w:t>
            </w:r>
          </w:p>
        </w:tc>
        <w:tc>
          <w:tcPr>
            <w:tcW w:w="6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right"/>
              <w:rPr/>
            </w:pPr>
            <w:r>
              <w:rPr/>
              <w:t>1.57</w:t>
            </w:r>
          </w:p>
        </w:tc>
        <w:tc>
          <w:tcPr>
            <w:tcW w:w="60" w:type="dxa"/>
            <w:tcBorders/>
            <w:vAlign w:val="bottom"/>
          </w:tcPr>
          <w:p>
            <w:pPr>
              <w:pStyle w:val="TableContents"/>
              <w:bidi w:val="0"/>
              <w:spacing w:before="0" w:after="283"/>
              <w:jc w:val="left"/>
              <w:rPr/>
            </w:pPr>
            <w:r>
              <w:rPr/>
              <w:t> </w:t>
            </w:r>
          </w:p>
        </w:tc>
        <w:tc>
          <w:tcPr>
            <w:tcW w:w="1415" w:type="dxa"/>
            <w:tcBorders/>
          </w:tcPr>
          <w:p>
            <w:pPr>
              <w:pStyle w:val="TableContents"/>
              <w:bidi w:val="0"/>
              <w:spacing w:before="0" w:after="283"/>
              <w:jc w:val="right"/>
              <w:rPr/>
            </w:pPr>
            <w:r>
              <w:rPr/>
              <w:t>6.59</w:t>
            </w:r>
          </w:p>
        </w:tc>
        <w:tc>
          <w:tcPr>
            <w:tcW w:w="60" w:type="dxa"/>
            <w:tcBorders/>
            <w:vAlign w:val="bottom"/>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— </w:t>
            </w:r>
          </w:p>
        </w:tc>
      </w:tr>
      <w:tr>
        <w:trPr/>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00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9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82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Group obtained secured borrowings from several banks of RMB9.64 billion in aggregate. The maturity dates ranged from July 2026 to June 2035. As of December 31, 2025, the Group obtained secured borrowings from several banks of RMB8.16 billion in aggregate. The maturity dates ranged from January 2026 to June 2035. </w:t>
      </w:r>
    </w:p>
    <w:p>
      <w:pPr>
        <w:pStyle w:val="TextBody"/>
        <w:bidi w:val="0"/>
        <w:spacing w:before="120" w:after="0"/>
        <w:jc w:val="left"/>
        <w:rPr>
          <w:rFonts w:ascii="Times New Roman" w:hAnsi="Times New Roman"/>
          <w:sz w:val="20"/>
        </w:rPr>
      </w:pPr>
      <w:r>
        <w:rPr>
          <w:rFonts w:ascii="Times New Roman" w:hAnsi="Times New Roman"/>
          <w:sz w:val="20"/>
        </w:rPr>
        <w:t xml:space="preserve">Moreover, the Group received subsidies from the local government for interest expenses incurred associated with the borrowings. As of June 30, 2026 and December 31, 2025, the aggregate sum of loans receiving government-subsidized interest amounted to RMB2.94 billion and RMB3.48 billion, respectively. For the six months ended June 30, 2026 and 2025, the Group recognized the subsidies to reduce the related interest expenses as incurred or to reduce the interest expenses capitalized in the construction costs of certain manufacturing plant or base, if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r>
              <w:rPr>
                <w:b/>
                <w:i/>
              </w:rPr>
              <w:t>(iii)</w:t>
            </w:r>
          </w:p>
        </w:tc>
        <w:tc>
          <w:tcPr>
            <w:tcW w:w="928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Asset-backed securities (“ABS”) </w:t>
            </w:r>
          </w:p>
        </w:tc>
      </w:tr>
    </w:tbl>
    <w:p>
      <w:pPr>
        <w:pStyle w:val="TextBody"/>
        <w:bidi w:val="0"/>
        <w:spacing w:before="120" w:after="0"/>
        <w:jc w:val="left"/>
        <w:rPr>
          <w:rFonts w:ascii="Times New Roman" w:hAnsi="Times New Roman"/>
          <w:sz w:val="20"/>
        </w:rPr>
      </w:pPr>
      <w:r>
        <w:rPr>
          <w:rFonts w:ascii="Times New Roman" w:hAnsi="Times New Roman"/>
          <w:sz w:val="20"/>
        </w:rPr>
        <w:t>In March 2024 and October 2024, the Group entered into asset-backed securitization arrangements with third-party financial institutions and set up two securitization vehicles to issue senior debt securities to third party investors, which are collateralized by installment payment receivables (the “</w:t>
      </w:r>
      <w:r>
        <w:rPr>
          <w:rFonts w:ascii="Times New Roman" w:hAnsi="Times New Roman"/>
          <w:b/>
          <w:sz w:val="20"/>
        </w:rPr>
        <w:t>ABS transferred financial assets</w:t>
      </w:r>
      <w:r>
        <w:rPr>
          <w:rFonts w:ascii="Times New Roman" w:hAnsi="Times New Roman"/>
          <w:sz w:val="20"/>
        </w:rPr>
        <w:t xml:space="preserve">”). The Group also acts as a servicer to provide management, administration and collection services on the ABS transferred financial assets and has the power to direct the activities that most significantly impact the securitization vehicles. The economic interests are retained by the Group in the form of subordinated interests as well as its obligation to absorb losses under certain circumstances. As a result, the Group consolidated the securitization vehicles. The proceeds from the issuance of debt securities are reported as securitization debt. The securities will be repaid as collections on the underlying collateralized assets occur and the amounts were included in “Long-term borrowings, current portion” or “Long-term borrowings” according to the contractual maturities of the debt securities. As of June 30, 2026, the balance of current and non-current portion of the ABS were RMB0.05 billion and nil, respectively. As of December 31, 2025, the balance of current and non-current portion of the ABS were RMB0.27 billion and RMB0.002 billion, respectively.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all of the bank loans and other borrowings of the Group were denominated in RMB and bore fixed and floating interest rates, and the Group had not been in violation of any of the covenants pursuant to the applicable agreement(s) entered with the lenders.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Pledge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2026, the Group pledged restricted cash and restricted deposits of RMB9.62 billion (December 31, 2025: RMB8.44 billion) for bank borrowings and the issuance of letter of guarantee, bank notes, legal disputes and others. Certain manufacturing buildings of Guangzhou plants, Wuhan base and Zhaoqing plants, the land use right of Wuhan base, Guangzhou plants, and Guangzhou Xiaopeng technology park and the equipments of Wuhan base were secured for the long-term bank loan with a total appraised value of RMB6.60 billion (December 31, 2025: RMB5.80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Gearing ratio </w:t>
            </w:r>
          </w:p>
        </w:tc>
      </w:tr>
    </w:tbl>
    <w:p>
      <w:pPr>
        <w:pStyle w:val="TextBody"/>
        <w:bidi w:val="0"/>
        <w:spacing w:before="120" w:after="0"/>
        <w:jc w:val="left"/>
        <w:rPr>
          <w:rFonts w:ascii="Times New Roman" w:hAnsi="Times New Roman"/>
          <w:sz w:val="20"/>
        </w:rPr>
      </w:pPr>
      <w:r>
        <w:rPr>
          <w:rFonts w:ascii="Times New Roman" w:hAnsi="Times New Roman"/>
          <w:sz w:val="20"/>
        </w:rPr>
        <w:t xml:space="preserve">Gearing ratio equals total debt divided by total equity as of the end of the Reporting Period. Total debt is defined to include short-term borrowings, current portion of long-term borrowings and long-term borrowings which are all interest-bearing borrowings. As of June 30, 2026, the gearing ratio of the Group is 73.2% (December 31, 2025: 41.8%).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the Group did not have any significant investments (including any investment in an investee company with a value of 5% or more of the Group’s total assets as of June 30, 2026). As of June 30, 2026, the Group did not have other plans for material investments and capital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Capital commitments and capital expenditure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2026, the Group had capital commitments amounting to RMB1.63 billion for the acquisition of property, plant and equipment, which was primarily for Guangzhou and Zhaoqing plants and Wuhan base, and RMB0.09 billion for other investments.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2026, the Group did not have any material contingent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acquisitions and disposals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the Group did not have any material acquisitions and disposals.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Risk management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Foreign Exchange Risk </w:t>
      </w:r>
    </w:p>
    <w:p>
      <w:pPr>
        <w:pStyle w:val="TextBody"/>
        <w:bidi w:val="0"/>
        <w:spacing w:before="120" w:after="0"/>
        <w:jc w:val="left"/>
        <w:rPr>
          <w:rFonts w:ascii="Times New Roman" w:hAnsi="Times New Roman"/>
          <w:sz w:val="20"/>
        </w:rPr>
      </w:pPr>
      <w:r>
        <w:rPr>
          <w:rFonts w:ascii="Times New Roman" w:hAnsi="Times New Roman"/>
          <w:sz w:val="20"/>
        </w:rPr>
        <w:t>The Group uses Renminbi as its reporting currency. Most of the Group’s revenues and expenses are denominated in Renminbi, while the Group also has certain portion of cash denominated in the U.S. dollar from its financing activities. The functional currency of the Company and subsidiaries in the United States and Hong Kong is the U.S. dollar or HK dollar. The functional currency of subsidiaries in the PRC, the variable interest entity (“</w:t>
      </w:r>
      <w:r>
        <w:rPr>
          <w:rFonts w:ascii="Times New Roman" w:hAnsi="Times New Roman"/>
          <w:b/>
          <w:sz w:val="20"/>
        </w:rPr>
        <w:t>VIE</w:t>
      </w:r>
      <w:r>
        <w:rPr>
          <w:rFonts w:ascii="Times New Roman" w:hAnsi="Times New Roman"/>
          <w:sz w:val="20"/>
        </w:rPr>
        <w:t xml:space="preserve">”) and the VIE’s subsidiaries is the Renminbi. The Group’s exposure to U.S. dollars exchange rate fluctuation mainly arises from the Renminbi-denominated cash and cash equivalents and other receivables held by the Group and its subsidiaries whose functional currency is U.S. dollars and the U.S. dollar-denominated other receivables held by the Group and its subsidiaries whose functional currency is Renminbi. The Group enters into hedging transactions in an effort to reduce its exposure to foreign currency exchange risk. During the six months ended June 30, 2026, the Group entered into foreign exchange forward contracts and currency swap contracts, which were not qualified for hedge accounting. As of June 30, 2026, the Group held foreign exchange forward contracts and currency swap contracts, which were not qualified for hedge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that the Group needs to convert U.S. dollars into Renminbi for its operations, appreciation of the Renminbi against the U.S. dollar would have an adverse effect on the Renminbi amount that the Group receives from the conversion. Conversely, if the Group decides to convert Renminbi into U.S. dollars for the purpose of making payments for dividends on its Class A ordinary shares or ADSs or for other business purposes, appreciation of the U.S. dollar against the Renminbi would have a negative effect on the U.S. dollar amounts available to the Group.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The Group’s interest rate risk arises from investments and borrowings. Investments in both fixed rate and floating rate interest-earning instruments carry a degree of interest rate risk. Fixed rate securities may have their fair market value adversely impacted due to a rise in interest rates, while floating rate securities may produce less income than expected if interest rates fall. Borrowings in both fixed rate and floating rate carry a degree of interest rate risk. Borrowings issued at fixed rates expose the Group to fair value interest rate risk, while borrowings issued at variable rates expose the Group to cash flow 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During the Reporting Period, the Group had not used any financial instrument to hedge its exposure to interest rate risk.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Employees and remuneration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breakdown of the Group’s employees by function as of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95"/>
        <w:gridCol w:w="686"/>
        <w:gridCol w:w="185"/>
        <w:gridCol w:w="2111"/>
        <w:gridCol w:w="62"/>
      </w:tblGrid>
      <w:tr>
        <w:trPr/>
        <w:tc>
          <w:tcPr>
            <w:tcW w:w="3895"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895" w:type="dxa"/>
            <w:tcBorders/>
            <w:vAlign w:val="bottom"/>
          </w:tcPr>
          <w:p>
            <w:pPr>
              <w:pStyle w:val="TableContents"/>
              <w:bidi w:val="0"/>
              <w:spacing w:before="0" w:after="283"/>
              <w:jc w:val="left"/>
              <w:rPr>
                <w:b/>
              </w:rPr>
            </w:pPr>
            <w:r>
              <w:rPr>
                <w:b/>
              </w:rPr>
              <w:t>Function</w:t>
            </w:r>
          </w:p>
        </w:tc>
        <w:tc>
          <w:tcPr>
            <w:tcW w:w="686" w:type="dxa"/>
            <w:tcBorders/>
            <w:vAlign w:val="bottom"/>
          </w:tcPr>
          <w:p>
            <w:pPr>
              <w:pStyle w:val="TableContents"/>
              <w:bidi w:val="0"/>
              <w:spacing w:before="0" w:after="283"/>
              <w:jc w:val="left"/>
              <w:rPr/>
            </w:pPr>
            <w:r>
              <w:rPr/>
              <w:t>  </w:t>
            </w:r>
          </w:p>
        </w:tc>
        <w:tc>
          <w:tcPr>
            <w:tcW w:w="2296" w:type="dxa"/>
            <w:gridSpan w:val="2"/>
            <w:tcBorders/>
            <w:vAlign w:val="bottom"/>
          </w:tcPr>
          <w:p>
            <w:pPr>
              <w:pStyle w:val="TableContents"/>
              <w:bidi w:val="0"/>
              <w:spacing w:before="0" w:after="283"/>
              <w:jc w:val="center"/>
              <w:rPr>
                <w:b/>
              </w:rPr>
            </w:pPr>
            <w:r>
              <w:rPr>
                <w:b/>
              </w:rPr>
              <w:t>Number of Employees</w:t>
            </w:r>
          </w:p>
        </w:tc>
        <w:tc>
          <w:tcPr>
            <w:tcW w:w="62" w:type="dxa"/>
            <w:tcBorders/>
            <w:vAlign w:val="bottom"/>
          </w:tcPr>
          <w:p>
            <w:pPr>
              <w:pStyle w:val="TableContents"/>
              <w:bidi w:val="0"/>
              <w:spacing w:before="0" w:after="283"/>
              <w:jc w:val="left"/>
              <w:rPr/>
            </w:pPr>
            <w:r>
              <w:rPr/>
              <w:t> </w:t>
            </w:r>
          </w:p>
        </w:tc>
      </w:tr>
      <w:tr>
        <w:trPr/>
        <w:tc>
          <w:tcPr>
            <w:tcW w:w="3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8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bidi w:val="0"/>
              <w:spacing w:before="0" w:after="283"/>
              <w:jc w:val="right"/>
              <w:rPr/>
            </w:pPr>
            <w:r>
              <w:rPr/>
              <w:t>8,735</w:t>
            </w:r>
          </w:p>
        </w:tc>
        <w:tc>
          <w:tcPr>
            <w:tcW w:w="62" w:type="dxa"/>
            <w:tcBorders/>
            <w:shd w:fill="CCEEFF" w:val="clear"/>
            <w:vAlign w:val="bottom"/>
          </w:tcPr>
          <w:p>
            <w:pPr>
              <w:pStyle w:val="TableContents"/>
              <w:bidi w:val="0"/>
              <w:spacing w:before="0" w:after="283"/>
              <w:jc w:val="left"/>
              <w:rPr/>
            </w:pPr>
            <w:r>
              <w:rPr/>
              <w:t> </w:t>
            </w:r>
          </w:p>
        </w:tc>
      </w:tr>
      <w:tr>
        <w:trPr/>
        <w:tc>
          <w:tcPr>
            <w:tcW w:w="3895"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68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right"/>
              <w:rPr/>
            </w:pPr>
            <w:r>
              <w:rPr/>
              <w:t>5,432</w:t>
            </w:r>
          </w:p>
        </w:tc>
        <w:tc>
          <w:tcPr>
            <w:tcW w:w="62" w:type="dxa"/>
            <w:tcBorders/>
            <w:vAlign w:val="bottom"/>
          </w:tcPr>
          <w:p>
            <w:pPr>
              <w:pStyle w:val="TableContents"/>
              <w:bidi w:val="0"/>
              <w:spacing w:before="0" w:after="283"/>
              <w:jc w:val="left"/>
              <w:rPr/>
            </w:pPr>
            <w:r>
              <w:rPr/>
              <w:t> </w:t>
            </w:r>
          </w:p>
        </w:tc>
      </w:tr>
      <w:tr>
        <w:trPr/>
        <w:tc>
          <w:tcPr>
            <w:tcW w:w="3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Manufacturing</w:t>
            </w:r>
          </w:p>
        </w:tc>
        <w:tc>
          <w:tcPr>
            <w:tcW w:w="68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bidi w:val="0"/>
              <w:spacing w:before="0" w:after="283"/>
              <w:jc w:val="right"/>
              <w:rPr/>
            </w:pPr>
            <w:r>
              <w:rPr/>
              <w:t>5,616</w:t>
            </w:r>
          </w:p>
        </w:tc>
        <w:tc>
          <w:tcPr>
            <w:tcW w:w="62" w:type="dxa"/>
            <w:tcBorders/>
            <w:shd w:fill="CCEEFF" w:val="clear"/>
            <w:vAlign w:val="bottom"/>
          </w:tcPr>
          <w:p>
            <w:pPr>
              <w:pStyle w:val="TableContents"/>
              <w:bidi w:val="0"/>
              <w:spacing w:before="0" w:after="283"/>
              <w:jc w:val="left"/>
              <w:rPr/>
            </w:pPr>
            <w:r>
              <w:rPr/>
              <w:t> </w:t>
            </w:r>
          </w:p>
        </w:tc>
      </w:tr>
      <w:tr>
        <w:trPr/>
        <w:tc>
          <w:tcPr>
            <w:tcW w:w="389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administration</w:t>
            </w:r>
          </w:p>
        </w:tc>
        <w:tc>
          <w:tcPr>
            <w:tcW w:w="68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3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Operation</w:t>
            </w:r>
          </w:p>
        </w:tc>
        <w:tc>
          <w:tcPr>
            <w:tcW w:w="68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bidi w:val="0"/>
              <w:spacing w:before="0" w:after="283"/>
              <w:jc w:val="right"/>
              <w:rPr/>
            </w:pPr>
            <w:r>
              <w:rPr/>
              <w:t>789</w:t>
            </w:r>
          </w:p>
        </w:tc>
        <w:tc>
          <w:tcPr>
            <w:tcW w:w="62" w:type="dxa"/>
            <w:tcBorders/>
            <w:shd w:fill="CCEEFF" w:val="clear"/>
            <w:vAlign w:val="bottom"/>
          </w:tcPr>
          <w:p>
            <w:pPr>
              <w:pStyle w:val="TableContents"/>
              <w:bidi w:val="0"/>
              <w:spacing w:before="0" w:after="283"/>
              <w:jc w:val="left"/>
              <w:rPr/>
            </w:pPr>
            <w:r>
              <w:rPr/>
              <w:t> </w:t>
            </w:r>
          </w:p>
        </w:tc>
      </w:tr>
      <w:tr>
        <w:trPr/>
        <w:tc>
          <w:tcPr>
            <w:tcW w:w="3895"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211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8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8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right"/>
              <w:rPr>
                <w:b/>
              </w:rPr>
            </w:pPr>
            <w:r>
              <w:rPr>
                <w:b/>
              </w:rPr>
              <w:t>20,632</w:t>
            </w:r>
          </w:p>
        </w:tc>
        <w:tc>
          <w:tcPr>
            <w:tcW w:w="62" w:type="dxa"/>
            <w:tcBorders/>
            <w:vAlign w:val="bottom"/>
          </w:tcPr>
          <w:p>
            <w:pPr>
              <w:pStyle w:val="TableContents"/>
              <w:bidi w:val="0"/>
              <w:spacing w:before="0" w:after="283"/>
              <w:jc w:val="left"/>
              <w:rPr/>
            </w:pPr>
            <w:r>
              <w:rPr/>
              <w:t> </w:t>
            </w:r>
          </w:p>
        </w:tc>
      </w:tr>
      <w:tr>
        <w:trPr/>
        <w:tc>
          <w:tcPr>
            <w:tcW w:w="3895"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211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primarily recruits the employees through recruitment agencies, on-campus job fairs, referrals, and online channels including the Company’s corporate website and social networking platforms. The Group has adopted a training policy, pursuant to which technology, corporate culture, leadership and other trainings are regularly provided to the Group’s employees by internal speakers and third-party consultants. </w:t>
      </w:r>
    </w:p>
    <w:p>
      <w:pPr>
        <w:pStyle w:val="TextBody"/>
        <w:bidi w:val="0"/>
        <w:spacing w:before="120" w:after="0"/>
        <w:jc w:val="left"/>
        <w:rPr>
          <w:rFonts w:ascii="Times New Roman" w:hAnsi="Times New Roman"/>
          <w:sz w:val="20"/>
        </w:rPr>
      </w:pPr>
      <w:r>
        <w:rPr>
          <w:rFonts w:ascii="Times New Roman" w:hAnsi="Times New Roman"/>
          <w:sz w:val="20"/>
        </w:rPr>
        <w:t xml:space="preserve">The Group offers its employees competitive compensation packages and a dynamic work environment that encourages initiative. The Group participates in various government statutory employee benefit plans, including social insurance, namely pension insurance, medical insurance, unemployment insurance, work-related injury insurance and maternity insurance, and housing funds. In addition, the Group purchased employer’s liability insurance and additional commercial health insurance to increase insurance coverage of its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Purchase, sale and redemption of the Company’s listed securities </w:t>
      </w:r>
    </w:p>
    <w:p>
      <w:pPr>
        <w:pStyle w:val="TextBody"/>
        <w:bidi w:val="0"/>
        <w:spacing w:before="120" w:after="0"/>
        <w:jc w:val="left"/>
        <w:rPr>
          <w:rFonts w:ascii="Times New Roman" w:hAnsi="Times New Roman"/>
          <w:sz w:val="20"/>
        </w:rPr>
      </w:pPr>
      <w:r>
        <w:rPr>
          <w:rFonts w:ascii="Times New Roman" w:hAnsi="Times New Roman"/>
          <w:sz w:val="20"/>
        </w:rPr>
        <w:t>On February 4, 2026, the Company issued 7,170 Class A ordinary shares to satisfy the restricted share units (the “</w:t>
      </w:r>
      <w:r>
        <w:rPr>
          <w:rFonts w:ascii="Times New Roman" w:hAnsi="Times New Roman"/>
          <w:b/>
          <w:sz w:val="20"/>
        </w:rPr>
        <w:t>RSUs</w:t>
      </w:r>
      <w:r>
        <w:rPr>
          <w:rFonts w:ascii="Times New Roman" w:hAnsi="Times New Roman"/>
          <w:sz w:val="20"/>
        </w:rPr>
        <w:t>”) pursuant to the 2019 equity incentive plan approved and adopted in June 2020, as amended and restated in August 2020 and June 2021 (the “</w:t>
      </w:r>
      <w:r>
        <w:rPr>
          <w:rFonts w:ascii="Times New Roman" w:hAnsi="Times New Roman"/>
          <w:b/>
          <w:sz w:val="20"/>
        </w:rPr>
        <w:t>2019 Equity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On March 25, 2026, the Company issued 2,194,444 Class A ordinary shares to satisfy the RSUs pursuant to the 2019 Equity Incentive Plan and the 2025 share incentive scheme adopted in March 2025 and approved in June 2025 (the “</w:t>
      </w:r>
      <w:r>
        <w:rPr>
          <w:rFonts w:ascii="Times New Roman" w:hAnsi="Times New Roman"/>
          <w:b/>
          <w:sz w:val="20"/>
        </w:rPr>
        <w:t>2025 Share Incentive Scheme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the Company issued 600,000 Class A ordinary shares to satisfy the RSUs pursuant to the 2019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June 24, 2026, the Company issued 1,642,300 Class A ordinary shares to satisfy the RSUs pursuant to the 2019 Equity Incentive Plan and the 2025 Share Incentive Scheme. </w:t>
      </w:r>
    </w:p>
    <w:p>
      <w:pPr>
        <w:pStyle w:val="TextBody"/>
        <w:bidi w:val="0"/>
        <w:spacing w:before="120" w:after="0"/>
        <w:jc w:val="left"/>
        <w:rPr>
          <w:rFonts w:ascii="Times New Roman" w:hAnsi="Times New Roman"/>
          <w:sz w:val="20"/>
        </w:rPr>
      </w:pPr>
      <w:r>
        <w:rPr>
          <w:rFonts w:ascii="Times New Roman" w:hAnsi="Times New Roman"/>
          <w:sz w:val="20"/>
        </w:rPr>
        <w:t xml:space="preserve">Save as disclosed above, neither the Company nor any of its subsidiaries purchased, sold or redeemed any of the Company’s listed securities (including sale of treasury shares) during the Reporting Period. The Company did not have any treasury shares (within the meaning of the Hong Kong Listing Rules) as at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Compliance with the Corporate Governance Code </w:t>
      </w:r>
    </w:p>
    <w:p>
      <w:pPr>
        <w:pStyle w:val="TextBody"/>
        <w:bidi w:val="0"/>
        <w:spacing w:before="120" w:after="0"/>
        <w:jc w:val="left"/>
        <w:rPr>
          <w:rFonts w:ascii="Times New Roman" w:hAnsi="Times New Roman"/>
          <w:sz w:val="20"/>
        </w:rPr>
      </w:pPr>
      <w:r>
        <w:rPr>
          <w:rFonts w:ascii="Times New Roman" w:hAnsi="Times New Roman"/>
          <w:sz w:val="20"/>
        </w:rPr>
        <w:t>The Company’s corporate governance practices are based on the principles and code provisions set forth in the Corporate Governance Code (the “</w:t>
      </w:r>
      <w:r>
        <w:rPr>
          <w:rFonts w:ascii="Times New Roman" w:hAnsi="Times New Roman"/>
          <w:b/>
          <w:sz w:val="20"/>
        </w:rPr>
        <w:t>CG Code</w:t>
      </w:r>
      <w:r>
        <w:rPr>
          <w:rFonts w:ascii="Times New Roman" w:hAnsi="Times New Roman"/>
          <w:sz w:val="20"/>
        </w:rPr>
        <w:t>”) contained in Appendix C1 to the Rules Governing the Listing of Securities on the Hong Kong Stock Exchange (the “</w:t>
      </w:r>
      <w:r>
        <w:rPr>
          <w:rFonts w:ascii="Times New Roman" w:hAnsi="Times New Roman"/>
          <w:b/>
          <w:sz w:val="20"/>
        </w:rPr>
        <w:t>Listing Rules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Pursuant to code provision C.2.1 of part 2 of the CG Code as set out in Appendix C1 to the Listing Rules, companies listed on the Hong Kong Stock Exchange are expected to comply with, but may choose to deviate from the requirement that the roles of chairman and chief executive officer should be separate and should not be performed by the same individual. The Company does not have a separate role for chairman and chief executive officer and Mr. Xiaopeng He currently performs these two roles. The board of directors (the “</w:t>
      </w:r>
      <w:r>
        <w:rPr>
          <w:rFonts w:ascii="Times New Roman" w:hAnsi="Times New Roman"/>
          <w:b/>
          <w:sz w:val="20"/>
        </w:rPr>
        <w:t>Directors</w:t>
      </w:r>
      <w:r>
        <w:rPr>
          <w:rFonts w:ascii="Times New Roman" w:hAnsi="Times New Roman"/>
          <w:sz w:val="20"/>
        </w:rPr>
        <w:t>”) of the Company (the “</w:t>
      </w:r>
      <w:r>
        <w:rPr>
          <w:rFonts w:ascii="Times New Roman" w:hAnsi="Times New Roman"/>
          <w:b/>
          <w:sz w:val="20"/>
        </w:rPr>
        <w:t>Board</w:t>
      </w:r>
      <w:r>
        <w:rPr>
          <w:rFonts w:ascii="Times New Roman" w:hAnsi="Times New Roman"/>
          <w:sz w:val="20"/>
        </w:rPr>
        <w:t xml:space="preserve">”) believes that vesting the roles of both chairman and chief executive officer in the same person has the benefit of ensuring consistent leadership within the Group and enables more effective and efficient overall strategic planning for the Group. The Board considers that the balance of power and authority for the present arrangement will not be impaired and this structure will enable the Company to make and implement decisions promptly and effectively.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above, the Company has complied with the code provisions set out in part 2 of the CG Code during the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Compliance with the Model Code for Securities Transactions </w:t>
      </w:r>
    </w:p>
    <w:p>
      <w:pPr>
        <w:pStyle w:val="TextBody"/>
        <w:bidi w:val="0"/>
        <w:spacing w:before="120" w:after="0"/>
        <w:jc w:val="left"/>
        <w:rPr>
          <w:rFonts w:ascii="Times New Roman" w:hAnsi="Times New Roman"/>
          <w:sz w:val="20"/>
        </w:rPr>
      </w:pPr>
      <w:r>
        <w:rPr>
          <w:rFonts w:ascii="Times New Roman" w:hAnsi="Times New Roman"/>
          <w:sz w:val="20"/>
        </w:rPr>
        <w:t>The Company has adopted the Model Code for Securities Transactions by Directors of Listed Issuers (the “</w:t>
      </w:r>
      <w:r>
        <w:rPr>
          <w:rFonts w:ascii="Times New Roman" w:hAnsi="Times New Roman"/>
          <w:b/>
          <w:sz w:val="20"/>
        </w:rPr>
        <w:t>Model Code</w:t>
      </w:r>
      <w:r>
        <w:rPr>
          <w:rFonts w:ascii="Times New Roman" w:hAnsi="Times New Roman"/>
          <w:sz w:val="20"/>
        </w:rPr>
        <w:t xml:space="preserve">”) as set out in Appendix C3 to the Listing Rules as its code of conduct regarding directors’ securities transactions. Having made specific enquiries to all of the Directors, all Directors confirmed that they have fully complied with all relevant requirements set out in the Model Code during the Reporting Period.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events after the Reporting Period </w:t>
      </w:r>
    </w:p>
    <w:p>
      <w:pPr>
        <w:pStyle w:val="TextBody"/>
        <w:bidi w:val="0"/>
        <w:spacing w:before="120" w:after="0"/>
        <w:jc w:val="left"/>
        <w:rPr>
          <w:rFonts w:ascii="Times New Roman" w:hAnsi="Times New Roman"/>
          <w:sz w:val="20"/>
        </w:rPr>
      </w:pPr>
      <w:r>
        <w:rPr>
          <w:rFonts w:ascii="Times New Roman" w:hAnsi="Times New Roman"/>
          <w:sz w:val="20"/>
        </w:rPr>
        <w:t xml:space="preserve">Save as disclosed in this announcement, no important events affecting the Group occurred since June 30, 2026 and up to the date of this announcement. </w:t>
      </w:r>
    </w:p>
    <w:p>
      <w:pPr>
        <w:pStyle w:val="TextBody"/>
        <w:bidi w:val="0"/>
        <w:spacing w:before="360" w:after="0"/>
        <w:jc w:val="left"/>
        <w:rPr>
          <w:rFonts w:ascii="Times New Roman" w:hAnsi="Times New Roman"/>
          <w:b/>
          <w:sz w:val="20"/>
        </w:rPr>
      </w:pPr>
      <w:r>
        <w:rPr>
          <w:rFonts w:ascii="Times New Roman" w:hAnsi="Times New Roman"/>
          <w:b/>
          <w:sz w:val="20"/>
        </w:rPr>
        <w:t xml:space="preserve">Review of 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interim condensed consolidated financial statements of the Group for the six months ended June 30, 2026 have been reviewed by the auditor of the Company, PricewaterhouseCoopers, in accordance with Hong Kong Standard on Review Engagements 2410 — “Review of Interim Financial Information Performed by the Independent Auditor of the Entity” issued by the Hong Kong Institute of Certified Public Accountants for the Hong Kong filing. The unaudited interim condensed consolidated financial statements of the Group for the six months ended June 30, 2026 have also been reviewed by the audit committee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About XPENG </w:t>
      </w:r>
    </w:p>
    <w:p>
      <w:pPr>
        <w:pStyle w:val="TextBody"/>
        <w:bidi w:val="0"/>
        <w:spacing w:before="120" w:after="0"/>
        <w:jc w:val="left"/>
        <w:rPr>
          <w:rFonts w:ascii="Times New Roman" w:hAnsi="Times New Roman"/>
          <w:sz w:val="20"/>
        </w:rPr>
      </w:pPr>
      <w:r>
        <w:rPr>
          <w:rFonts w:ascii="Times New Roman" w:hAnsi="Times New Roman"/>
          <w:sz w:val="20"/>
        </w:rPr>
        <w:t xml:space="preserve">XPENG is a leading global Physical AI company, dedicated to bringing artificial intelligence into the physical world to reshape future mobility and smart living. Through in-house R&amp;D, XPENG has developed a full-stack Physical AI architecture spanning Turing AI chips, world foundation models, and highly integrated software and hardware applications. This unified technology foundation of XPENG powers an expansive product portfolio of smart EVs, robotaxis, and humanoid robots, advancing the deployment of Physical AI at scale. Headquartered in Guangzhou, China, XPENG is dual-primary listed on the New York Stock Exchange and the Hong Kong Stock Exchange. With global capabilities across R&amp;D, manufacturing, sales, and services, XPENG drives continuous technological innovation and fosters an open Physical AI ecosystem, making life smarter, safer, and better for users worldwide. For more information, please visit https://www.xpeng.com/. </w:t>
      </w:r>
    </w:p>
    <w:p>
      <w:pPr>
        <w:pStyle w:val="TextBody"/>
        <w:bidi w:val="0"/>
        <w:spacing w:before="360" w:after="0"/>
        <w:jc w:val="left"/>
        <w:rPr>
          <w:rFonts w:ascii="Times New Roman" w:hAnsi="Times New Roman"/>
          <w:b/>
          <w:sz w:val="20"/>
        </w:rPr>
      </w:pPr>
      <w:r>
        <w:rPr>
          <w:rFonts w:ascii="Times New Roman" w:hAnsi="Times New Roman"/>
          <w:b/>
          <w:sz w:val="20"/>
        </w:rPr>
        <w:t xml:space="preserve">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non-GAAP measures, such as non-GAAP loss from operations, non-GAAP net loss, non-GAAP net loss attributable to ordinary shareholders, non-GAAP basic loss per ordinary share and non-GAAP basic loss per ADS, in evaluating its operating results and for financial and operational decision-making purposes. By excluding the impact of share-based compensation expenses and fair value (gain) loss on derivative liability relating to the contingent consideration,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 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loss or other consolidated statements of comprehensive loss data prepared in accordance with U.S. GAAP. The Company encourages investors and others to review its financial information in its entirety and not rely on a single financial measure. The Company mitigates these limitations by reconciling the non-GAAP financial measures to the most comparable U.S. GAAP performance measures, all of which should be considered when evaluating the Company’s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on the non-GAAP financial measures, please see the table captioned “Unaudited Interim Reconciliations of GAAP and non-GAAP Results” set forth in this announcement.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suppliers, third-party service providers, strategic partners and other stakeholders; general economic and business conditions; and assumptions underlying or related to any of the foregoing. Further information regarding these and other risks is included in XPENG’s filings with the United States Securities and Exchange Commission. All information provided in this announcement is as of the date of this announcement, and XPENG does not undertake any obligation to update any forward-looking statement, except as required under applicable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t>By order of the Board</w:t>
            </w:r>
          </w:p>
        </w:tc>
      </w:tr>
      <w:tr>
        <w:trPr/>
        <w:tc>
          <w:tcPr>
            <w:tcW w:w="10205" w:type="dxa"/>
            <w:tcBorders/>
          </w:tcPr>
          <w:p>
            <w:pPr>
              <w:pStyle w:val="TableContents"/>
              <w:bidi w:val="0"/>
              <w:spacing w:before="0" w:after="0"/>
              <w:jc w:val="right"/>
              <w:rPr>
                <w:rFonts w:ascii="Times New Roman" w:hAnsi="Times New Roman"/>
                <w:sz w:val="20"/>
              </w:rPr>
            </w:pPr>
            <w:r>
              <w:rPr>
                <w:rFonts w:ascii="Times New Roman" w:hAnsi="Times New Roman"/>
                <w:b/>
                <w:sz w:val="20"/>
              </w:rPr>
              <w:t>XPeng Inc.</w:t>
            </w:r>
            <w:r>
              <w:rPr>
                <w:rFonts w:ascii="Times New Roman" w:hAnsi="Times New Roman"/>
                <w:sz w:val="20"/>
              </w:rPr>
              <w:t>  </w:t>
            </w:r>
          </w:p>
          <w:p>
            <w:pPr>
              <w:pStyle w:val="TableContents"/>
              <w:bidi w:val="0"/>
              <w:spacing w:before="0" w:after="0"/>
              <w:jc w:val="right"/>
              <w:rPr>
                <w:rFonts w:ascii="Times New Roman" w:hAnsi="Times New Roman"/>
                <w:sz w:val="20"/>
              </w:rPr>
            </w:pPr>
            <w:r>
              <w:rPr>
                <w:rFonts w:ascii="Times New Roman" w:hAnsi="Times New Roman"/>
                <w:b/>
                <w:sz w:val="20"/>
              </w:rPr>
              <w:t>Xiaopeng He</w:t>
            </w:r>
            <w:r>
              <w:rPr>
                <w:rFonts w:ascii="Times New Roman" w:hAnsi="Times New Roman"/>
                <w:sz w:val="20"/>
              </w:rPr>
              <w:t xml:space="preserve">   </w:t>
            </w:r>
          </w:p>
          <w:p>
            <w:pPr>
              <w:pStyle w:val="TableContents"/>
              <w:bidi w:val="0"/>
              <w:spacing w:before="0" w:after="20"/>
              <w:jc w:val="right"/>
              <w:rPr>
                <w:rFonts w:ascii="Times New Roman" w:hAnsi="Times New Roman"/>
                <w:sz w:val="20"/>
              </w:rPr>
            </w:pPr>
            <w:r>
              <w:rPr>
                <w:rFonts w:ascii="Times New Roman" w:hAnsi="Times New Roman"/>
                <w:i/>
                <w:sz w:val="20"/>
              </w:rPr>
              <w:t>Chairman</w:t>
            </w:r>
            <w:r>
              <w:rPr>
                <w:rFonts w:ascii="Times New Roman" w:hAnsi="Times New Roman"/>
                <w:sz w:val="20"/>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Monday, August 24,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Xiaopeng He as an executive director, Mr. Ji-Xun Foo as a non-executive director, and Mr. Donghao Yang, Ms. Fang Qu, Mr. HongJiang Zhang and Mr. Yudong Chen as independent non-executive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For identification purpose only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INTERIM CONDENSED CONSOLIDATED STATEMENT OF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1"/>
        <w:gridCol w:w="162"/>
        <w:gridCol w:w="141"/>
        <w:gridCol w:w="331"/>
        <w:gridCol w:w="60"/>
        <w:gridCol w:w="162"/>
        <w:gridCol w:w="60"/>
        <w:gridCol w:w="1344"/>
        <w:gridCol w:w="155"/>
        <w:gridCol w:w="114"/>
        <w:gridCol w:w="60"/>
        <w:gridCol w:w="1344"/>
        <w:gridCol w:w="161"/>
      </w:tblGrid>
      <w:tr>
        <w:trPr/>
        <w:tc>
          <w:tcPr>
            <w:tcW w:w="611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47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077" w:type="dxa"/>
            <w:gridSpan w:val="6"/>
            <w:tcBorders/>
            <w:vAlign w:val="bottom"/>
          </w:tcPr>
          <w:p>
            <w:pPr>
              <w:pStyle w:val="TableContents"/>
              <w:bidi w:val="0"/>
              <w:spacing w:before="0" w:after="283"/>
              <w:jc w:val="center"/>
              <w:rPr>
                <w:b/>
              </w:rPr>
            </w:pPr>
            <w:r>
              <w:rPr>
                <w:b/>
              </w:rPr>
              <w:t>For the Six Months Ended</w:t>
              <w:br/>
              <w:t>June 30,</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472" w:type="dxa"/>
            <w:gridSpan w:val="2"/>
            <w:tcBorders/>
            <w:vAlign w:val="bottom"/>
          </w:tcPr>
          <w:p>
            <w:pPr>
              <w:pStyle w:val="TableContents"/>
              <w:bidi w:val="0"/>
              <w:spacing w:before="0" w:after="283"/>
              <w:jc w:val="center"/>
              <w:rPr>
                <w:i/>
              </w:rPr>
            </w:pPr>
            <w:r>
              <w:rPr>
                <w:i/>
              </w:rPr>
              <w:t>Note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bidi w:val="0"/>
              <w:spacing w:before="0" w:after="283"/>
              <w:jc w:val="center"/>
              <w:rPr/>
            </w:pPr>
            <w:r>
              <w:rPr/>
              <w:t>2025</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47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bidi w:val="0"/>
              <w:spacing w:before="0" w:after="283"/>
              <w:jc w:val="center"/>
              <w:rPr/>
            </w:pPr>
            <w:r>
              <w:rPr/>
              <w:t>RMB</w:t>
            </w:r>
          </w:p>
        </w:tc>
        <w:tc>
          <w:tcPr>
            <w:tcW w:w="161"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28,045,797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31,252,994</w:t>
            </w:r>
          </w:p>
        </w:tc>
        <w:tc>
          <w:tcPr>
            <w:tcW w:w="161"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4,731,577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2,832,039</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right"/>
              <w:rPr>
                <w:i/>
              </w:rPr>
            </w:pPr>
            <w:r>
              <w:rPr>
                <w:i/>
              </w:rPr>
              <w:t>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32,777,374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34,085,033</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sales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(24,657,041</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(27,327,991</w:t>
            </w:r>
          </w:p>
        </w:tc>
        <w:tc>
          <w:tcPr>
            <w:tcW w:w="161"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(1,354,258</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(1,130,182</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cost of sales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(26,011,299</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(28,458,173</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6,766,075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5,626,860</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4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(5,821,431</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(4,186,868</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(4,379,922</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(4,113,305</w:t>
            </w:r>
          </w:p>
        </w:tc>
        <w:tc>
          <w:tcPr>
            <w:tcW w:w="161"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319,499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781,442</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 (loss) on derivative liability relating to the contingent consideration</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98,775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(84,225</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 net</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(9,783,079</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(7,602,956</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(3,017,004</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(1,976,096</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473,912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599,451</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(289,467</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(204,096</w:t>
            </w:r>
          </w:p>
        </w:tc>
        <w:tc>
          <w:tcPr>
            <w:tcW w:w="161" w:type="dxa"/>
            <w:tcBorders/>
            <w:vAlign w:val="bottom"/>
          </w:tcPr>
          <w:p>
            <w:pPr>
              <w:pStyle w:val="TableContents"/>
              <w:bidi w:val="0"/>
              <w:spacing w:before="0" w:after="283"/>
              <w:jc w:val="left"/>
              <w:rPr/>
            </w:pPr>
            <w:r>
              <w:rPr/>
              <w:t>) </w:t>
            </w:r>
          </w:p>
        </w:tc>
      </w:tr>
      <w:tr>
        <w:trPr/>
        <w:tc>
          <w:tcPr>
            <w:tcW w:w="61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Fair value gain on derivative assets or derivative liabilities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36,868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gain on long-term investments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28,740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104,054</w:t>
            </w:r>
          </w:p>
        </w:tc>
        <w:tc>
          <w:tcPr>
            <w:tcW w:w="161" w:type="dxa"/>
            <w:tcBorders/>
            <w:vAlign w:val="bottom"/>
          </w:tcPr>
          <w:p>
            <w:pPr>
              <w:pStyle w:val="TableContents"/>
              <w:bidi w:val="0"/>
              <w:spacing w:before="0" w:after="283"/>
              <w:jc w:val="left"/>
              <w:rPr/>
            </w:pPr>
            <w:r>
              <w:rPr/>
              <w:t> </w:t>
            </w:r>
          </w:p>
        </w:tc>
      </w:tr>
      <w:tr>
        <w:trPr/>
        <w:tc>
          <w:tcPr>
            <w:tcW w:w="61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Exchange (loss) gain from foreign currency transactions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(274,023</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273,132</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non-operating income, net</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11,442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23,729</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 (expenses) benefit and share of results of equity method investees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(3,029,532</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(1,179,826</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(expenses) benefit</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right"/>
              <w:rPr>
                <w:i/>
              </w:rPr>
            </w:pPr>
            <w:r>
              <w:rPr>
                <w:i/>
              </w:rPr>
              <w:t>4</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(83,532</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1,430</w:t>
            </w:r>
          </w:p>
        </w:tc>
        <w:tc>
          <w:tcPr>
            <w:tcW w:w="161" w:type="dxa"/>
            <w:tcBorders/>
            <w:vAlign w:val="bottom"/>
          </w:tcPr>
          <w:p>
            <w:pPr>
              <w:pStyle w:val="TableContents"/>
              <w:bidi w:val="0"/>
              <w:spacing w:before="0" w:after="283"/>
              <w:jc w:val="left"/>
              <w:rPr/>
            </w:pPr>
            <w:r>
              <w:rPr/>
              <w:t> </w:t>
            </w:r>
          </w:p>
        </w:tc>
      </w:tr>
      <w:tr>
        <w:trPr/>
        <w:tc>
          <w:tcPr>
            <w:tcW w:w="61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investees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(8,100</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36,596</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(3,121,164</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(1,141,800</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ordinary shareholders of XPeng Inc.</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(3,121,164</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(1,141,800</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4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INTERIM CONDENSED CONSOLIDATED STATEMENT OF COMPREHENSIVE LOSS (CONTINUED)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07"/>
        <w:gridCol w:w="143"/>
        <w:gridCol w:w="141"/>
        <w:gridCol w:w="341"/>
        <w:gridCol w:w="60"/>
        <w:gridCol w:w="143"/>
        <w:gridCol w:w="60"/>
        <w:gridCol w:w="1415"/>
        <w:gridCol w:w="155"/>
        <w:gridCol w:w="106"/>
        <w:gridCol w:w="60"/>
        <w:gridCol w:w="1415"/>
        <w:gridCol w:w="159"/>
      </w:tblGrid>
      <w:tr>
        <w:trPr/>
        <w:tc>
          <w:tcPr>
            <w:tcW w:w="600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8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211"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9" w:type="dxa"/>
            <w:tcBorders/>
            <w:vAlign w:val="bottom"/>
          </w:tcPr>
          <w:p>
            <w:pPr>
              <w:pStyle w:val="TableContents"/>
              <w:bidi w:val="0"/>
              <w:spacing w:before="0" w:after="283"/>
              <w:jc w:val="left"/>
              <w:rPr/>
            </w:pPr>
            <w:r>
              <w:rPr/>
              <w:t> </w:t>
            </w:r>
          </w:p>
        </w:tc>
      </w:tr>
      <w:tr>
        <w:trPr/>
        <w:tc>
          <w:tcPr>
            <w:tcW w:w="60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82" w:type="dxa"/>
            <w:gridSpan w:val="2"/>
            <w:tcBorders/>
            <w:vAlign w:val="bottom"/>
          </w:tcPr>
          <w:p>
            <w:pPr>
              <w:pStyle w:val="TableContents"/>
              <w:bidi w:val="0"/>
              <w:spacing w:before="0" w:after="283"/>
              <w:jc w:val="center"/>
              <w:rPr>
                <w:i/>
              </w:rPr>
            </w:pPr>
            <w:r>
              <w:rPr>
                <w:i/>
              </w:rPr>
              <w:t>Note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60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8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center"/>
              <w:rPr>
                <w:b/>
                <w:i/>
              </w:rPr>
            </w:pPr>
            <w:r>
              <w:rPr>
                <w:b/>
                <w:i/>
              </w:rPr>
              <w:t>RMB</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center"/>
              <w:rPr>
                <w:i/>
              </w:rPr>
            </w:pPr>
            <w:r>
              <w:rPr>
                <w:i/>
              </w:rPr>
              <w:t>RMB</w:t>
            </w:r>
          </w:p>
        </w:tc>
        <w:tc>
          <w:tcPr>
            <w:tcW w:w="159" w:type="dxa"/>
            <w:tcBorders/>
            <w:vAlign w:val="bottom"/>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4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b/>
              </w:rPr>
            </w:pPr>
            <w:r>
              <w:rPr>
                <w:b/>
              </w:rPr>
              <w:t>(3,121,164</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(1,141,800</w:t>
            </w:r>
          </w:p>
        </w:tc>
        <w:tc>
          <w:tcPr>
            <w:tcW w:w="159"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14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14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b/>
              </w:rPr>
            </w:pPr>
            <w:r>
              <w:rPr>
                <w:b/>
              </w:rPr>
              <w:t>(535,526</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(42,124</w:t>
            </w:r>
          </w:p>
        </w:tc>
        <w:tc>
          <w:tcPr>
            <w:tcW w:w="159" w:type="dxa"/>
            <w:tcBorders/>
            <w:shd w:fill="CCEEFF" w:val="clear"/>
            <w:vAlign w:val="bottom"/>
          </w:tcPr>
          <w:p>
            <w:pPr>
              <w:pStyle w:val="TableContents"/>
              <w:bidi w:val="0"/>
              <w:spacing w:before="0" w:after="283"/>
              <w:jc w:val="left"/>
              <w:rPr/>
            </w:pPr>
            <w:r>
              <w:rPr/>
              <w:t>) </w:t>
            </w:r>
          </w:p>
        </w:tc>
      </w:tr>
      <w:tr>
        <w:trPr/>
        <w:tc>
          <w:tcPr>
            <w:tcW w:w="600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comprehensive loss attributable to XPeng Inc.</w:t>
            </w:r>
          </w:p>
        </w:tc>
        <w:tc>
          <w:tcPr>
            <w:tcW w:w="14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b/>
              </w:rPr>
            </w:pPr>
            <w:r>
              <w:rPr>
                <w:b/>
              </w:rPr>
              <w:t>(3,656,690</w:t>
            </w:r>
          </w:p>
        </w:tc>
        <w:tc>
          <w:tcPr>
            <w:tcW w:w="155" w:type="dxa"/>
            <w:tcBorders/>
            <w:vAlign w:val="bottom"/>
          </w:tcPr>
          <w:p>
            <w:pPr>
              <w:pStyle w:val="TableContents"/>
              <w:bidi w:val="0"/>
              <w:spacing w:before="0" w:after="283"/>
              <w:jc w:val="left"/>
              <w:rPr>
                <w:b/>
              </w:rPr>
            </w:pPr>
            <w:r>
              <w:rPr>
                <w:b/>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(1,183,924</w:t>
            </w:r>
          </w:p>
        </w:tc>
        <w:tc>
          <w:tcPr>
            <w:tcW w:w="159" w:type="dxa"/>
            <w:tcBorders/>
            <w:vAlign w:val="bottom"/>
          </w:tcPr>
          <w:p>
            <w:pPr>
              <w:pStyle w:val="TableContents"/>
              <w:bidi w:val="0"/>
              <w:spacing w:before="0" w:after="283"/>
              <w:jc w:val="left"/>
              <w:rPr/>
            </w:pPr>
            <w:r>
              <w:rPr/>
              <w:t>) </w:t>
            </w:r>
          </w:p>
        </w:tc>
      </w:tr>
      <w:tr>
        <w:trPr/>
        <w:tc>
          <w:tcPr>
            <w:tcW w:w="600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ordinary shareholders of XPeng Inc.</w:t>
            </w:r>
          </w:p>
        </w:tc>
        <w:tc>
          <w:tcPr>
            <w:tcW w:w="14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b/>
              </w:rPr>
            </w:pPr>
            <w:r>
              <w:rPr>
                <w:b/>
              </w:rPr>
              <w:t>(3,656,690</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(1,183,924</w:t>
            </w:r>
          </w:p>
        </w:tc>
        <w:tc>
          <w:tcPr>
            <w:tcW w:w="159" w:type="dxa"/>
            <w:tcBorders/>
            <w:shd w:fill="CCEEFF" w:val="clear"/>
            <w:vAlign w:val="bottom"/>
          </w:tcPr>
          <w:p>
            <w:pPr>
              <w:pStyle w:val="TableContents"/>
              <w:bidi w:val="0"/>
              <w:spacing w:before="0" w:after="283"/>
              <w:jc w:val="left"/>
              <w:rPr/>
            </w:pPr>
            <w:r>
              <w:rPr/>
              <w:t>) </w:t>
            </w:r>
          </w:p>
        </w:tc>
      </w:tr>
      <w:tr>
        <w:trPr/>
        <w:tc>
          <w:tcPr>
            <w:tcW w:w="600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1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ordinary shares used in computing net loss per ordinary share</w:t>
            </w:r>
          </w:p>
        </w:tc>
        <w:tc>
          <w:tcPr>
            <w:tcW w:w="14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4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right"/>
              <w:rPr>
                <w:i/>
              </w:rPr>
            </w:pPr>
            <w:r>
              <w:rPr>
                <w:i/>
              </w:rPr>
              <w:t>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b/>
              </w:rPr>
            </w:pPr>
            <w:r>
              <w:rPr>
                <w:b/>
              </w:rPr>
              <w:t>1,911,657,495</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1,900,912,109</w:t>
            </w:r>
          </w:p>
        </w:tc>
        <w:tc>
          <w:tcPr>
            <w:tcW w:w="159"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per ordinary share attributable to ordinary shareholders</w:t>
            </w:r>
          </w:p>
        </w:tc>
        <w:tc>
          <w:tcPr>
            <w:tcW w:w="14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4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right"/>
              <w:rPr>
                <w:i/>
              </w:rPr>
            </w:pPr>
            <w:r>
              <w:rPr>
                <w:i/>
              </w:rPr>
              <w:t>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b/>
              </w:rPr>
            </w:pPr>
            <w:r>
              <w:rPr>
                <w:b/>
              </w:rPr>
              <w:t>(1.63</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(0.60</w:t>
            </w:r>
          </w:p>
        </w:tc>
        <w:tc>
          <w:tcPr>
            <w:tcW w:w="159"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ADS used in computing net loss per share</w:t>
            </w:r>
          </w:p>
        </w:tc>
        <w:tc>
          <w:tcPr>
            <w:tcW w:w="14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4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b/>
              </w:rPr>
            </w:pPr>
            <w:r>
              <w:rPr>
                <w:b/>
              </w:rPr>
              <w:t>955,828,748</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950,456,055</w:t>
            </w:r>
          </w:p>
        </w:tc>
        <w:tc>
          <w:tcPr>
            <w:tcW w:w="159"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per ADS attributable to ordinary shareholders</w:t>
            </w:r>
          </w:p>
        </w:tc>
        <w:tc>
          <w:tcPr>
            <w:tcW w:w="14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4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b/>
              </w:rPr>
            </w:pPr>
            <w:r>
              <w:rPr>
                <w:b/>
              </w:rPr>
              <w:t>(3.27</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(1.20</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INTERIM CONDENSED CONSOLIDATED BALANCE SHEET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63"/>
        <w:gridCol w:w="162"/>
        <w:gridCol w:w="141"/>
        <w:gridCol w:w="329"/>
        <w:gridCol w:w="60"/>
        <w:gridCol w:w="162"/>
        <w:gridCol w:w="60"/>
        <w:gridCol w:w="1441"/>
        <w:gridCol w:w="60"/>
        <w:gridCol w:w="162"/>
        <w:gridCol w:w="60"/>
        <w:gridCol w:w="1441"/>
        <w:gridCol w:w="64"/>
      </w:tblGrid>
      <w:tr>
        <w:trPr/>
        <w:tc>
          <w:tcPr>
            <w:tcW w:w="6063"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6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center"/>
              <w:rPr>
                <w:i/>
              </w:rPr>
            </w:pPr>
            <w:r>
              <w:rPr>
                <w:i/>
              </w:rPr>
              <w:t>Note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0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0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r>
          </w:p>
          <w:p>
            <w:pPr>
              <w:pStyle w:val="TableContents"/>
              <w:bidi w:val="0"/>
              <w:spacing w:before="0" w:after="0"/>
              <w:jc w:val="center"/>
              <w:rPr>
                <w:rFonts w:ascii="Times New Roman" w:hAnsi="Times New Roman"/>
                <w:sz w:val="16"/>
              </w:rPr>
            </w:pPr>
            <w:r>
              <w:rPr>
                <w:rFonts w:ascii="Times New Roman" w:hAnsi="Times New Roman"/>
                <w:sz w:val="16"/>
              </w:rP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4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14,238,387</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17,329,612</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6,924,327</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6,071,491</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deposits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7,780,960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11,388,834</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short-term deposits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1,207,694</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296,277</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1,537,877</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3,217,293</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deposits, current portion</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4,485,471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3,020,317</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long-term deposits, current portion</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600,472</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Derivative assets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46,884</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and notes receivable, net</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right"/>
              <w:rPr>
                <w:i/>
              </w:rPr>
            </w:pPr>
            <w:r>
              <w:rPr>
                <w:i/>
              </w:rPr>
              <w:t>6</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1,140,279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1,996,917</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Installment payment receivables, net, current portion</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3,729,175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3,553,054</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13,729,266</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10,380,668</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165,426</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102,219</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 net</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6,519,738</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5,296,673</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61,505,484</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63,253,827</w:t>
            </w:r>
          </w:p>
        </w:tc>
        <w:tc>
          <w:tcPr>
            <w:tcW w:w="64" w:type="dxa"/>
            <w:tcBorders/>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63" w:type="dxa"/>
            <w:tcBorders/>
          </w:tcPr>
          <w:p>
            <w:pPr>
              <w:pStyle w:val="TableContents"/>
              <w:bidi w:val="0"/>
              <w:spacing w:before="0" w:after="0"/>
              <w:jc w:val="left"/>
              <w:rPr>
                <w:rFonts w:ascii="Times New Roman" w:hAnsi="Times New Roman"/>
                <w:sz w:val="20"/>
              </w:rPr>
            </w:pPr>
            <w:r>
              <w:rPr>
                <w:rFonts w:ascii="Times New Roman" w:hAnsi="Times New Roman"/>
                <w:sz w:val="20"/>
              </w:rPr>
              <w:t>Long-term deposits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2,815,695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4,263,542</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long-term deposits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1,488,663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1,468,708</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17,874,208</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13,527,237</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 net</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1,172,310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3,730,921</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3,985,127</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4,253,168</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3,475,115</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3,216,526</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Installment payment receivables, net</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6,145,671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6,496,020</w:t>
            </w:r>
          </w:p>
        </w:tc>
        <w:tc>
          <w:tcPr>
            <w:tcW w:w="64" w:type="dxa"/>
            <w:tcBorders/>
            <w:vAlign w:val="bottom"/>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2,708,224</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2,523,037</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415,819</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429,644</w:t>
            </w:r>
          </w:p>
        </w:tc>
        <w:tc>
          <w:tcPr>
            <w:tcW w:w="64" w:type="dxa"/>
            <w:tcBorders/>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b/>
              </w:rPr>
            </w:pPr>
            <w:r>
              <w:rPr>
                <w:b/>
              </w:rPr>
              <w:t>40,080,832</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39,908,803</w:t>
            </w:r>
          </w:p>
        </w:tc>
        <w:tc>
          <w:tcPr>
            <w:tcW w:w="64" w:type="dxa"/>
            <w:tcBorders/>
            <w:shd w:fill="CCEEFF" w:val="clear"/>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b/>
              </w:rPr>
            </w:pPr>
            <w:r>
              <w:rPr>
                <w:b/>
              </w:rPr>
              <w:t>101,586,316</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103,162,630</w:t>
            </w:r>
          </w:p>
        </w:tc>
        <w:tc>
          <w:tcPr>
            <w:tcW w:w="64" w:type="dxa"/>
            <w:tcBorders/>
            <w:vAlign w:val="bottom"/>
          </w:tcPr>
          <w:p>
            <w:pPr>
              <w:pStyle w:val="TableContents"/>
              <w:bidi w:val="0"/>
              <w:spacing w:before="0" w:after="283"/>
              <w:jc w:val="left"/>
              <w:rPr/>
            </w:pPr>
            <w:r>
              <w:rPr/>
              <w:t> </w:t>
            </w:r>
          </w:p>
        </w:tc>
      </w:tr>
      <w:tr>
        <w:trPr/>
        <w:tc>
          <w:tcPr>
            <w:tcW w:w="606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4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INTERIM CONDENSED CONSOLIDATED BALANCE SHEET (CONTINUED)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54"/>
        <w:gridCol w:w="164"/>
        <w:gridCol w:w="141"/>
        <w:gridCol w:w="333"/>
        <w:gridCol w:w="60"/>
        <w:gridCol w:w="164"/>
        <w:gridCol w:w="60"/>
        <w:gridCol w:w="1291"/>
        <w:gridCol w:w="60"/>
        <w:gridCol w:w="164"/>
        <w:gridCol w:w="60"/>
        <w:gridCol w:w="1291"/>
        <w:gridCol w:w="63"/>
      </w:tblGrid>
      <w:tr>
        <w:trPr/>
        <w:tc>
          <w:tcPr>
            <w:tcW w:w="6354"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35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74" w:type="dxa"/>
            <w:gridSpan w:val="2"/>
            <w:tcBorders/>
            <w:vAlign w:val="bottom"/>
          </w:tcPr>
          <w:p>
            <w:pPr>
              <w:pStyle w:val="TableContents"/>
              <w:bidi w:val="0"/>
              <w:spacing w:before="0" w:after="283"/>
              <w:jc w:val="center"/>
              <w:rPr>
                <w:i/>
              </w:rPr>
            </w:pPr>
            <w:r>
              <w:rPr>
                <w:i/>
              </w:rPr>
              <w:t>Note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5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5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b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5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10,070,000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4,282,000</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center"/>
              <w:rPr>
                <w:i/>
              </w:rPr>
            </w:pPr>
            <w:r>
              <w:rPr>
                <w:i/>
              </w:rPr>
              <w:t>7</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15,721,318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18,001,675</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Notes payable</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center"/>
              <w:rPr>
                <w:i/>
              </w:rPr>
            </w:pPr>
            <w:r>
              <w:rPr>
                <w:i/>
              </w:rPr>
              <w:t>8</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13,993,642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19,161,724</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397</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1,064</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65,560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44,682</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199,834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281,009</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305,387</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445,901</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Finance lease liabilities, current portion</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75,910</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55,581</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current portion</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1,698,642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1,463,065</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borrowings, current portion</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706,156</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1,837,950</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Accruals and other liabilities</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12,468,572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12,538,698</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35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55,305,418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58,113,349</w:t>
            </w:r>
          </w:p>
        </w:tc>
        <w:tc>
          <w:tcPr>
            <w:tcW w:w="63" w:type="dxa"/>
            <w:tcBorders/>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54" w:type="dxa"/>
            <w:tcBorders/>
          </w:tcPr>
          <w:p>
            <w:pPr>
              <w:pStyle w:val="TableContents"/>
              <w:bidi w:val="0"/>
              <w:spacing w:before="0" w:after="0"/>
              <w:jc w:val="left"/>
              <w:rPr>
                <w:rFonts w:ascii="Times New Roman" w:hAnsi="Times New Roman"/>
                <w:sz w:val="20"/>
              </w:rPr>
            </w:pPr>
            <w:r>
              <w:rPr>
                <w:rFonts w:ascii="Times New Roman" w:hAnsi="Times New Roman"/>
                <w:sz w:val="20"/>
              </w:rPr>
              <w:t>Long-term borrowings</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8,983,337</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6,588,865</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2,068,806</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4,246,599</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4,649,369</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740,576</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1,354,301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1,206,014</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330,341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330,353</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1,885,892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1,568,284</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35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19,272,046</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14,680,691</w:t>
            </w:r>
          </w:p>
        </w:tc>
        <w:tc>
          <w:tcPr>
            <w:tcW w:w="63" w:type="dxa"/>
            <w:tcBorders/>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35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74,577,464</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72,794,040</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INTERIM CONDENSED CONSOLIDATED BALANCE SHEET (CONTINUED)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9"/>
        <w:gridCol w:w="152"/>
        <w:gridCol w:w="237"/>
        <w:gridCol w:w="237"/>
        <w:gridCol w:w="60"/>
        <w:gridCol w:w="152"/>
        <w:gridCol w:w="60"/>
        <w:gridCol w:w="1348"/>
        <w:gridCol w:w="155"/>
        <w:gridCol w:w="107"/>
        <w:gridCol w:w="60"/>
        <w:gridCol w:w="1359"/>
        <w:gridCol w:w="159"/>
      </w:tblGrid>
      <w:tr>
        <w:trPr/>
        <w:tc>
          <w:tcPr>
            <w:tcW w:w="611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7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bidi w:val="0"/>
              <w:spacing w:before="0" w:after="283"/>
              <w:jc w:val="center"/>
              <w:rPr/>
            </w:pPr>
            <w:r>
              <w:rPr/>
              <w:t>As of</w:t>
              <w:br/>
              <w:t>December 31,</w:t>
            </w:r>
          </w:p>
        </w:tc>
        <w:tc>
          <w:tcPr>
            <w:tcW w:w="159" w:type="dxa"/>
            <w:tcBorders/>
            <w:vAlign w:val="bottom"/>
          </w:tcPr>
          <w:p>
            <w:pPr>
              <w:pStyle w:val="TableContents"/>
              <w:bidi w:val="0"/>
              <w:spacing w:before="0" w:after="283"/>
              <w:jc w:val="left"/>
              <w:rPr/>
            </w:pPr>
            <w:r>
              <w:rPr/>
              <w:t> </w:t>
            </w:r>
          </w:p>
        </w:tc>
      </w:tr>
      <w:tr>
        <w:trPr/>
        <w:tc>
          <w:tcPr>
            <w:tcW w:w="611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7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8"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611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74" w:type="dxa"/>
            <w:gridSpan w:val="2"/>
            <w:tcBorders/>
            <w:vAlign w:val="bottom"/>
          </w:tcPr>
          <w:p>
            <w:pPr>
              <w:pStyle w:val="TableContents"/>
              <w:bidi w:val="0"/>
              <w:spacing w:before="0" w:after="283"/>
              <w:jc w:val="center"/>
              <w:rPr>
                <w:i/>
              </w:rPr>
            </w:pPr>
            <w:r>
              <w:rPr>
                <w:i/>
              </w:rPr>
              <w:t>Note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8" w:type="dxa"/>
            <w:gridSpan w:val="2"/>
            <w:tcBorders/>
            <w:vAlign w:val="bottom"/>
          </w:tcPr>
          <w:p>
            <w:pPr>
              <w:pStyle w:val="TableContents"/>
              <w:bidi w:val="0"/>
              <w:spacing w:before="0" w:after="283"/>
              <w:jc w:val="center"/>
              <w:rPr>
                <w:b/>
                <w:i/>
              </w:rPr>
            </w:pPr>
            <w:r>
              <w:rPr>
                <w:b/>
                <w:i/>
              </w:rPr>
              <w:t>RMB</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bidi w:val="0"/>
              <w:spacing w:before="0" w:after="283"/>
              <w:jc w:val="center"/>
              <w:rPr>
                <w:i/>
              </w:rPr>
            </w:pPr>
            <w:r>
              <w:rPr>
                <w:i/>
              </w:rPr>
              <w:t>RMB</w:t>
            </w:r>
          </w:p>
        </w:tc>
        <w:tc>
          <w:tcPr>
            <w:tcW w:w="159" w:type="dxa"/>
            <w:tcBorders/>
            <w:vAlign w:val="bottom"/>
          </w:tcPr>
          <w:p>
            <w:pPr>
              <w:pStyle w:val="TableContents"/>
              <w:bidi w:val="0"/>
              <w:spacing w:before="0" w:after="283"/>
              <w:jc w:val="left"/>
              <w:rPr/>
            </w:pPr>
            <w:r>
              <w:rPr/>
              <w:t> </w:t>
            </w:r>
          </w:p>
        </w:tc>
      </w:tr>
      <w:tr>
        <w:trPr/>
        <w:tc>
          <w:tcPr>
            <w:tcW w:w="61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19" w:type="dxa"/>
            <w:tcBorders/>
          </w:tcPr>
          <w:p>
            <w:pPr>
              <w:pStyle w:val="TableContents"/>
              <w:bidi w:val="0"/>
              <w:spacing w:before="0" w:after="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 xml:space="preserve">A Ordinary shares </w:t>
            </w:r>
            <w:r>
              <w:rPr>
                <w:rFonts w:ascii="Times New Roman" w:hAnsi="Times New Roman"/>
                <w:sz w:val="20"/>
              </w:rPr>
              <w:t>(US$0.00001 par value; 9,250,000,000 and 9,250,000,000 shares authorized, 1,567,388,524 and 1,562,944,610 shares issued, 1,564,662,874 and 1,559,991,508 shares outstanding as of June 30, 2026 and December 31, 2025, respectively)</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106</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105</w:t>
            </w:r>
          </w:p>
        </w:tc>
        <w:tc>
          <w:tcPr>
            <w:tcW w:w="159" w:type="dxa"/>
            <w:tcBorders/>
            <w:vAlign w:val="bottom"/>
          </w:tcPr>
          <w:p>
            <w:pPr>
              <w:pStyle w:val="TableContents"/>
              <w:bidi w:val="0"/>
              <w:spacing w:before="0" w:after="283"/>
              <w:jc w:val="left"/>
              <w:rPr/>
            </w:pPr>
            <w:r>
              <w:rPr/>
              <w:t> </w:t>
            </w:r>
          </w:p>
        </w:tc>
      </w:tr>
      <w:tr>
        <w:trPr/>
        <w:tc>
          <w:tcPr>
            <w:tcW w:w="6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 xml:space="preserve">B Ordinary shares </w:t>
            </w:r>
            <w:r>
              <w:rPr>
                <w:rFonts w:ascii="Times New Roman" w:hAnsi="Times New Roman"/>
                <w:sz w:val="20"/>
              </w:rPr>
              <w:t>(US$0.00001 par value; 750,000,000 and 750,000,000 shares authorized, 348,708,257 and 348,708,257 shares issued and outstanding as of June 30, 2026 and December 31, 2025, respectively)</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21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21</w:t>
            </w:r>
          </w:p>
        </w:tc>
        <w:tc>
          <w:tcPr>
            <w:tcW w:w="159" w:type="dxa"/>
            <w:tcBorders/>
            <w:shd w:fill="CCEEFF" w:val="clear"/>
            <w:vAlign w:val="bottom"/>
          </w:tcPr>
          <w:p>
            <w:pPr>
              <w:pStyle w:val="TableContents"/>
              <w:bidi w:val="0"/>
              <w:spacing w:before="0" w:after="283"/>
              <w:jc w:val="left"/>
              <w:rPr/>
            </w:pPr>
            <w:r>
              <w:rPr/>
              <w:t> </w:t>
            </w:r>
          </w:p>
        </w:tc>
      </w:tr>
      <w:tr>
        <w:trPr/>
        <w:tc>
          <w:tcPr>
            <w:tcW w:w="61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71,532,962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71,236,011</w:t>
            </w:r>
          </w:p>
        </w:tc>
        <w:tc>
          <w:tcPr>
            <w:tcW w:w="159" w:type="dxa"/>
            <w:tcBorders/>
            <w:vAlign w:val="bottom"/>
          </w:tcPr>
          <w:p>
            <w:pPr>
              <w:pStyle w:val="TableContents"/>
              <w:bidi w:val="0"/>
              <w:spacing w:before="0" w:after="283"/>
              <w:jc w:val="left"/>
              <w:rPr/>
            </w:pPr>
            <w:r>
              <w:rPr/>
              <w:t> </w:t>
            </w:r>
          </w:p>
        </w:tc>
      </w:tr>
      <w:tr>
        <w:trPr/>
        <w:tc>
          <w:tcPr>
            <w:tcW w:w="61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Statutory and other reserves</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161,535</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137,720</w:t>
            </w:r>
          </w:p>
        </w:tc>
        <w:tc>
          <w:tcPr>
            <w:tcW w:w="159" w:type="dxa"/>
            <w:tcBorders/>
            <w:shd w:fill="CCEEFF" w:val="clear"/>
            <w:vAlign w:val="bottom"/>
          </w:tcPr>
          <w:p>
            <w:pPr>
              <w:pStyle w:val="TableContents"/>
              <w:bidi w:val="0"/>
              <w:spacing w:before="0" w:after="283"/>
              <w:jc w:val="left"/>
              <w:rPr/>
            </w:pPr>
            <w:r>
              <w:rPr/>
              <w:t> </w:t>
            </w:r>
          </w:p>
        </w:tc>
      </w:tr>
      <w:tr>
        <w:trPr/>
        <w:tc>
          <w:tcPr>
            <w:tcW w:w="61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(45,912,689</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(42,767,710</w:t>
            </w:r>
          </w:p>
        </w:tc>
        <w:tc>
          <w:tcPr>
            <w:tcW w:w="159" w:type="dxa"/>
            <w:tcBorders/>
            <w:vAlign w:val="bottom"/>
          </w:tcPr>
          <w:p>
            <w:pPr>
              <w:pStyle w:val="TableContents"/>
              <w:bidi w:val="0"/>
              <w:spacing w:before="0" w:after="283"/>
              <w:jc w:val="left"/>
              <w:rPr/>
            </w:pPr>
            <w:r>
              <w:rPr/>
              <w:t>) </w:t>
            </w:r>
          </w:p>
        </w:tc>
      </w:tr>
      <w:tr>
        <w:trPr/>
        <w:tc>
          <w:tcPr>
            <w:tcW w:w="61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1,226,917</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1,762,443</w:t>
            </w:r>
          </w:p>
        </w:tc>
        <w:tc>
          <w:tcPr>
            <w:tcW w:w="159" w:type="dxa"/>
            <w:tcBorders/>
            <w:shd w:fill="CCEEFF" w:val="clear"/>
            <w:vAlign w:val="bottom"/>
          </w:tcPr>
          <w:p>
            <w:pPr>
              <w:pStyle w:val="TableContents"/>
              <w:bidi w:val="0"/>
              <w:spacing w:before="0" w:after="283"/>
              <w:jc w:val="left"/>
              <w:rPr/>
            </w:pPr>
            <w:r>
              <w:rPr/>
              <w:t> </w:t>
            </w:r>
          </w:p>
        </w:tc>
      </w:tr>
      <w:tr>
        <w:trPr/>
        <w:tc>
          <w:tcPr>
            <w:tcW w:w="61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27,008,852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30,368,590</w:t>
            </w:r>
          </w:p>
        </w:tc>
        <w:tc>
          <w:tcPr>
            <w:tcW w:w="159" w:type="dxa"/>
            <w:tcBorders/>
            <w:vAlign w:val="bottom"/>
          </w:tcPr>
          <w:p>
            <w:pPr>
              <w:pStyle w:val="TableContents"/>
              <w:bidi w:val="0"/>
              <w:spacing w:before="0" w:after="283"/>
              <w:jc w:val="left"/>
              <w:rPr/>
            </w:pPr>
            <w:r>
              <w:rPr/>
              <w:t> </w:t>
            </w:r>
          </w:p>
        </w:tc>
      </w:tr>
      <w:tr>
        <w:trPr/>
        <w:tc>
          <w:tcPr>
            <w:tcW w:w="61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101,586,316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103,162,630</w:t>
            </w:r>
          </w:p>
        </w:tc>
        <w:tc>
          <w:tcPr>
            <w:tcW w:w="159" w:type="dxa"/>
            <w:tcBorders/>
            <w:shd w:fill="CCEEFF" w:val="clear"/>
            <w:vAlign w:val="bottom"/>
          </w:tcPr>
          <w:p>
            <w:pPr>
              <w:pStyle w:val="TableContents"/>
              <w:bidi w:val="0"/>
              <w:spacing w:before="0" w:after="283"/>
              <w:jc w:val="left"/>
              <w:rPr/>
            </w:pPr>
            <w:r>
              <w:rPr/>
              <w:t> </w:t>
            </w:r>
          </w:p>
        </w:tc>
      </w:tr>
      <w:tr>
        <w:trPr/>
        <w:tc>
          <w:tcPr>
            <w:tcW w:w="61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NOTES TO THE UNAUDITED INTERIM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Information </w:t>
            </w:r>
          </w:p>
        </w:tc>
      </w:tr>
    </w:tbl>
    <w:p>
      <w:pPr>
        <w:pStyle w:val="TextBody"/>
        <w:bidi w:val="0"/>
        <w:spacing w:before="120" w:after="0"/>
        <w:jc w:val="left"/>
        <w:rPr>
          <w:rFonts w:ascii="Times New Roman" w:hAnsi="Times New Roman"/>
          <w:sz w:val="20"/>
        </w:rPr>
      </w:pPr>
      <w:r>
        <w:rPr>
          <w:rFonts w:ascii="Times New Roman" w:hAnsi="Times New Roman"/>
          <w:sz w:val="20"/>
        </w:rPr>
        <w:t>XPeng Inc. (“</w:t>
      </w:r>
      <w:r>
        <w:rPr>
          <w:rFonts w:ascii="Times New Roman" w:hAnsi="Times New Roman"/>
          <w:b/>
          <w:sz w:val="20"/>
        </w:rPr>
        <w:t>XPENG</w:t>
      </w:r>
      <w:r>
        <w:rPr>
          <w:rFonts w:ascii="Times New Roman" w:hAnsi="Times New Roman"/>
          <w:sz w:val="20"/>
        </w:rPr>
        <w:t>” or the “</w:t>
      </w:r>
      <w:r>
        <w:rPr>
          <w:rFonts w:ascii="Times New Roman" w:hAnsi="Times New Roman"/>
          <w:b/>
          <w:sz w:val="20"/>
        </w:rPr>
        <w:t>Company</w:t>
      </w:r>
      <w:r>
        <w:rPr>
          <w:rFonts w:ascii="Times New Roman" w:hAnsi="Times New Roman"/>
          <w:sz w:val="20"/>
        </w:rPr>
        <w:t>”) was incorporated under the laws of the Cayman Islands on December 27, 2018, as an exempted company with limited liability. The Company, its subsidiaries and consolidated variable interest entity (“</w:t>
      </w:r>
      <w:r>
        <w:rPr>
          <w:rFonts w:ascii="Times New Roman" w:hAnsi="Times New Roman"/>
          <w:b/>
          <w:sz w:val="20"/>
        </w:rPr>
        <w:t>VIE</w:t>
      </w:r>
      <w:r>
        <w:rPr>
          <w:rFonts w:ascii="Times New Roman" w:hAnsi="Times New Roman"/>
          <w:sz w:val="20"/>
        </w:rPr>
        <w:t>”) and VIE’s subsidiaries (“</w:t>
      </w:r>
      <w:r>
        <w:rPr>
          <w:rFonts w:ascii="Times New Roman" w:hAnsi="Times New Roman"/>
          <w:b/>
          <w:sz w:val="20"/>
        </w:rPr>
        <w:t>VIEs</w:t>
      </w:r>
      <w:r>
        <w:rPr>
          <w:rFonts w:ascii="Times New Roman" w:hAnsi="Times New Roman"/>
          <w:sz w:val="20"/>
        </w:rPr>
        <w:t>”, also refer to VIE and its subsidiaries as a whole, where appropriate) are collectively referred to as the “</w:t>
      </w:r>
      <w:r>
        <w:rPr>
          <w:rFonts w:ascii="Times New Roman" w:hAnsi="Times New Roman"/>
          <w:b/>
          <w:sz w:val="20"/>
        </w:rPr>
        <w:t>Group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XPENG is a leading global Physical AI company, dedicated to bringing artificial intelligence into the physical world. Powered by its full-stack technology capabilities, XPENG develops an expansive product portfolio spanning smart EVs, robotaxis, and humanoid robots for future mobility and smart living. The company manufactures its vehicles through its own plants in Zhaoqing, Guangzhou, and its manufacturing base in Wuhan. As of June 30, 2026, XPENG conducts its primary operations in the People’s Republic of China (“</w:t>
      </w:r>
      <w:r>
        <w:rPr>
          <w:rFonts w:ascii="Times New Roman" w:hAnsi="Times New Roman"/>
          <w:b/>
          <w:sz w:val="20"/>
        </w:rPr>
        <w:t>PRC</w:t>
      </w:r>
      <w:r>
        <w:rPr>
          <w:rFonts w:ascii="Times New Roman" w:hAnsi="Times New Roman"/>
          <w:sz w:val="20"/>
        </w:rPr>
        <w:t xml:space="preserve">”) while expanding its global capabilities across research and development, sales, and services to serve users worldwide.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r>
              <w:rPr>
                <w:b/>
                <w:i/>
              </w:rPr>
              <w:t>(a)</w:t>
            </w:r>
          </w:p>
        </w:tc>
        <w:tc>
          <w:tcPr>
            <w:tcW w:w="928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The accompanying unaudited interim condensed financial statements have been prepared in accordance with accounting principles generally accepted in the United States of America (“</w:t>
      </w:r>
      <w:r>
        <w:rPr>
          <w:rFonts w:ascii="Times New Roman" w:hAnsi="Times New Roman"/>
          <w:b/>
          <w:sz w:val="20"/>
        </w:rPr>
        <w:t>U.S. GAAP</w:t>
      </w:r>
      <w:r>
        <w:rPr>
          <w:rFonts w:ascii="Times New Roman" w:hAnsi="Times New Roman"/>
          <w:sz w:val="20"/>
        </w:rPr>
        <w:t xml:space="preserve">”) for interim financial information. Accordingly, they do not include all of the information and footnotes required by U.S. GAAP for complete financial statements. Certain information and note disclosures normally included in the annual financial statements prepared in accordance with U.S. GAAP have been condensed or omitted consistent with Article 10 of Regulation S-X. The unaudited interim condensed financial statements have been prepared on the same basis as the audited financial statements and include all adjustments as necessary for the fair statement of the Group’s financial position as of June 30, 2026, results of operations and cash flows for the six months ended June 30, 2026 and 2025. The consolidated balance sheets as of December 31, 2025 have been derived from the audited financial statements at that date but does not include all the information and footnotes required by U.S. GAAP. The unaudited interim condensed financial statements and related disclosures have been prepared with the presumption that users of the unaudited interim condensed financial statements have read or have access to the audited consolidated financial statements for the preceding fiscal years. Accordingly, these financial statements should be read in conjunction with the audited consolidated financial statements and related footnotes for the year ended December 31, 2025. The accounting policies applied are consistent with those of the audited consolidated financial statements for the preceding fiscal year. Results for interim periods are not necessarily indicative of the results expected for the full fiscal year or for any future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r>
              <w:rPr>
                <w:b/>
                <w:i/>
              </w:rPr>
              <w:t>(b)</w:t>
            </w:r>
          </w:p>
        </w:tc>
        <w:tc>
          <w:tcPr>
            <w:tcW w:w="928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Segment reporting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ASC 280, Segment Reporting, establishes standards for companies to report in their financial statements information about operating segments, products, services, geographic areas, and major customers. </w:t>
      </w:r>
    </w:p>
    <w:p>
      <w:pPr>
        <w:pStyle w:val="TextBody"/>
        <w:bidi w:val="0"/>
        <w:spacing w:before="120" w:after="0"/>
        <w:jc w:val="left"/>
        <w:rPr>
          <w:rFonts w:ascii="Times New Roman" w:hAnsi="Times New Roman"/>
          <w:sz w:val="20"/>
        </w:rPr>
      </w:pPr>
      <w:r>
        <w:rPr>
          <w:rFonts w:ascii="Times New Roman" w:hAnsi="Times New Roman"/>
          <w:sz w:val="20"/>
        </w:rPr>
        <w:t>Based on the criteria established by ASC 280, the Group’s chief operating decision maker (“</w:t>
      </w:r>
      <w:r>
        <w:rPr>
          <w:rFonts w:ascii="Times New Roman" w:hAnsi="Times New Roman"/>
          <w:b/>
          <w:sz w:val="20"/>
        </w:rPr>
        <w:t>CODM</w:t>
      </w:r>
      <w:r>
        <w:rPr>
          <w:rFonts w:ascii="Times New Roman" w:hAnsi="Times New Roman"/>
          <w:sz w:val="20"/>
        </w:rPr>
        <w:t xml:space="preserve">”) has been identified as the Chief Executive Officer, who reviews unaudited consolidated revenue and gross profit when making decisions about allocating resources and assessing performance of the Group, as a whole. Hence, the Group has only one reportable segment. As one reportable segment, the Group derives revenue from vehicle sales and the related business.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revenues by geographic area based on the sales location of our products: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25"/>
        <w:gridCol w:w="182"/>
        <w:gridCol w:w="60"/>
        <w:gridCol w:w="1111"/>
        <w:gridCol w:w="60"/>
        <w:gridCol w:w="182"/>
        <w:gridCol w:w="60"/>
        <w:gridCol w:w="1111"/>
        <w:gridCol w:w="64"/>
      </w:tblGrid>
      <w:tr>
        <w:trPr/>
        <w:tc>
          <w:tcPr>
            <w:tcW w:w="492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584" w:type="dxa"/>
            <w:gridSpan w:val="6"/>
            <w:tcBorders/>
            <w:vAlign w:val="bottom"/>
          </w:tcPr>
          <w:p>
            <w:pPr>
              <w:pStyle w:val="TableContents"/>
              <w:bidi w:val="0"/>
              <w:spacing w:before="0" w:after="283"/>
              <w:jc w:val="center"/>
              <w:rPr>
                <w:b/>
              </w:rPr>
            </w:pPr>
            <w:r>
              <w:rPr>
                <w:b/>
              </w:rPr>
              <w:t>For the Six Months Ended</w:t>
              <w:br/>
              <w:t>June 30,</w:t>
            </w:r>
          </w:p>
        </w:tc>
        <w:tc>
          <w:tcPr>
            <w:tcW w:w="64"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64"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Chinese Mainland</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24,550,923</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29,013,920</w:t>
            </w:r>
          </w:p>
        </w:tc>
        <w:tc>
          <w:tcPr>
            <w:tcW w:w="64"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Overseas</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8,226,451</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5,071,113</w:t>
            </w:r>
          </w:p>
        </w:tc>
        <w:tc>
          <w:tcPr>
            <w:tcW w:w="64"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32,777,374</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34,085,033</w:t>
            </w:r>
          </w:p>
        </w:tc>
        <w:tc>
          <w:tcPr>
            <w:tcW w:w="64"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the Group’s long-lived assets are substantially located in Chinese Mainland, no segment geographical information of long-lived assets is presented. The CODM does not review any information regarding total assets on a reportable segment basis. </w:t>
      </w:r>
    </w:p>
    <w:p>
      <w:pPr>
        <w:pStyle w:val="TextBody"/>
        <w:bidi w:val="0"/>
        <w:spacing w:before="120" w:after="0"/>
        <w:jc w:val="left"/>
        <w:rPr>
          <w:rFonts w:ascii="Times New Roman" w:hAnsi="Times New Roman"/>
          <w:sz w:val="20"/>
        </w:rPr>
      </w:pPr>
      <w:r>
        <w:rPr>
          <w:rFonts w:ascii="Times New Roman" w:hAnsi="Times New Roman"/>
          <w:sz w:val="20"/>
        </w:rPr>
        <w:t xml:space="preserve">The primary measure of segment revenue and profitability for the Group’s operating segment is considered to be consolidated revenue and gross profit. Significant segment expense reviewed by the CODM on a regular basis included within gross profit includes cost of sales, which is separately presented on the Group’s unaudited condensed consolidated statements of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For the operating results of segment provided to and reviewed by CODM, please refer to the unaudited condensed consolidated statements of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Revenues by source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20"/>
        <w:gridCol w:w="182"/>
        <w:gridCol w:w="60"/>
        <w:gridCol w:w="1113"/>
        <w:gridCol w:w="60"/>
        <w:gridCol w:w="182"/>
        <w:gridCol w:w="60"/>
        <w:gridCol w:w="1113"/>
        <w:gridCol w:w="65"/>
      </w:tblGrid>
      <w:tr>
        <w:trPr/>
        <w:tc>
          <w:tcPr>
            <w:tcW w:w="492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2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588" w:type="dxa"/>
            <w:gridSpan w:val="6"/>
            <w:tcBorders/>
            <w:vAlign w:val="bottom"/>
          </w:tcPr>
          <w:p>
            <w:pPr>
              <w:pStyle w:val="TableContents"/>
              <w:bidi w:val="0"/>
              <w:spacing w:before="0" w:after="283"/>
              <w:jc w:val="center"/>
              <w:rPr>
                <w:b/>
              </w:rPr>
            </w:pPr>
            <w:r>
              <w:rPr>
                <w:b/>
              </w:rPr>
              <w:t>For the Six Months Ended</w:t>
              <w:br/>
              <w:t>June 30,</w:t>
            </w:r>
          </w:p>
        </w:tc>
        <w:tc>
          <w:tcPr>
            <w:tcW w:w="65" w:type="dxa"/>
            <w:tcBorders/>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center"/>
              <w:rPr/>
            </w:pPr>
            <w:r>
              <w:rPr/>
              <w:t>2025</w:t>
            </w:r>
          </w:p>
        </w:tc>
        <w:tc>
          <w:tcPr>
            <w:tcW w:w="65" w:type="dxa"/>
            <w:tcBorders/>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center"/>
              <w:rPr>
                <w:b/>
                <w:i/>
              </w:rPr>
            </w:pPr>
            <w:r>
              <w:rPr>
                <w:b/>
                <w:i/>
              </w:rPr>
              <w:t>RMB’000</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center"/>
              <w:rPr>
                <w:i/>
              </w:rPr>
            </w:pPr>
            <w:r>
              <w:rPr>
                <w:i/>
              </w:rPr>
              <w:t>RMB’000</w:t>
            </w:r>
          </w:p>
        </w:tc>
        <w:tc>
          <w:tcPr>
            <w:tcW w:w="65"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920" w:type="dxa"/>
            <w:tcBorders/>
            <w:shd w:fill="CCEEFF" w:val="clear"/>
          </w:tcPr>
          <w:p>
            <w:pPr>
              <w:pStyle w:val="TableContents"/>
              <w:bidi w:val="0"/>
              <w:spacing w:before="0" w:after="0"/>
              <w:jc w:val="left"/>
              <w:rPr/>
            </w:pPr>
            <w:r>
              <w:rPr/>
              <w:t xml:space="preserve">— </w:t>
            </w:r>
            <w:r>
              <w:rPr>
                <w:rFonts w:ascii="Times New Roman" w:hAnsi="Times New Roman"/>
                <w:sz w:val="20"/>
              </w:rPr>
              <w:t>At a point in time</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b/>
              </w:rPr>
            </w:pPr>
            <w:r>
              <w:rPr>
                <w:b/>
              </w:rPr>
              <w:t>28,045,797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31,252,994</w:t>
            </w:r>
          </w:p>
        </w:tc>
        <w:tc>
          <w:tcPr>
            <w:tcW w:w="65" w:type="dxa"/>
            <w:tcBorders/>
            <w:shd w:fill="CCEEFF" w:val="clear"/>
            <w:vAlign w:val="bottom"/>
          </w:tcPr>
          <w:p>
            <w:pPr>
              <w:pStyle w:val="TableContents"/>
              <w:bidi w:val="0"/>
              <w:spacing w:before="0" w:after="283"/>
              <w:jc w:val="left"/>
              <w:rPr/>
            </w:pPr>
            <w:r>
              <w:rPr/>
              <w:t> </w:t>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920" w:type="dxa"/>
            <w:tcBorders/>
            <w:shd w:fill="CCEEFF" w:val="clear"/>
          </w:tcPr>
          <w:p>
            <w:pPr>
              <w:pStyle w:val="TableContents"/>
              <w:bidi w:val="0"/>
              <w:spacing w:before="0" w:after="0"/>
              <w:jc w:val="left"/>
              <w:rPr/>
            </w:pPr>
            <w:r>
              <w:rPr/>
              <w:t xml:space="preserve">— </w:t>
            </w:r>
            <w:r>
              <w:rPr>
                <w:rFonts w:ascii="Times New Roman" w:hAnsi="Times New Roman"/>
                <w:sz w:val="20"/>
              </w:rPr>
              <w:t>At a point in time</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b/>
              </w:rPr>
            </w:pPr>
            <w:r>
              <w:rPr>
                <w:b/>
              </w:rPr>
              <w:t>1,765,039</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1,331,264</w:t>
            </w:r>
          </w:p>
        </w:tc>
        <w:tc>
          <w:tcPr>
            <w:tcW w:w="65" w:type="dxa"/>
            <w:tcBorders/>
            <w:shd w:fill="CCEEFF" w:val="clear"/>
            <w:vAlign w:val="bottom"/>
          </w:tcPr>
          <w:p>
            <w:pPr>
              <w:pStyle w:val="TableContents"/>
              <w:bidi w:val="0"/>
              <w:spacing w:before="0" w:after="283"/>
              <w:jc w:val="left"/>
              <w:rPr/>
            </w:pPr>
            <w:r>
              <w:rPr/>
              <w:t> </w:t>
            </w:r>
          </w:p>
        </w:tc>
      </w:tr>
      <w:tr>
        <w:trPr/>
        <w:tc>
          <w:tcPr>
            <w:tcW w:w="4920" w:type="dxa"/>
            <w:tcBorders/>
          </w:tcPr>
          <w:p>
            <w:pPr>
              <w:pStyle w:val="TableContents"/>
              <w:bidi w:val="0"/>
              <w:spacing w:before="0" w:after="0"/>
              <w:jc w:val="left"/>
              <w:rPr/>
            </w:pPr>
            <w:r>
              <w:rPr/>
              <w:t xml:space="preserve">— </w:t>
            </w:r>
            <w:r>
              <w:rPr>
                <w:rFonts w:ascii="Times New Roman" w:hAnsi="Times New Roman"/>
                <w:sz w:val="20"/>
              </w:rPr>
              <w:t>Over time</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b/>
              </w:rPr>
            </w:pPr>
            <w:r>
              <w:rPr>
                <w:b/>
              </w:rPr>
              <w:t>2,648,136</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1,290,763</w:t>
            </w:r>
          </w:p>
        </w:tc>
        <w:tc>
          <w:tcPr>
            <w:tcW w:w="65"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other sources</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b/>
              </w:rPr>
            </w:pPr>
            <w:r>
              <w:rPr>
                <w:b/>
              </w:rPr>
              <w:t>318,402</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210,012</w:t>
            </w:r>
          </w:p>
        </w:tc>
        <w:tc>
          <w:tcPr>
            <w:tcW w:w="65" w:type="dxa"/>
            <w:tcBorders/>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9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b/>
              </w:rPr>
            </w:pPr>
            <w:r>
              <w:rPr>
                <w:b/>
              </w:rPr>
              <w:t>32,777,374</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34,085,033</w:t>
            </w:r>
          </w:p>
        </w:tc>
        <w:tc>
          <w:tcPr>
            <w:tcW w:w="65" w:type="dxa"/>
            <w:tcBorders/>
            <w:shd w:fill="CCEEFF" w:val="clear"/>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Composition of income tax expenses (benefit) for the periods presented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2"/>
        <w:gridCol w:w="338"/>
        <w:gridCol w:w="99"/>
        <w:gridCol w:w="1138"/>
        <w:gridCol w:w="99"/>
        <w:gridCol w:w="400"/>
        <w:gridCol w:w="99"/>
        <w:gridCol w:w="1082"/>
        <w:gridCol w:w="158"/>
      </w:tblGrid>
      <w:tr>
        <w:trPr/>
        <w:tc>
          <w:tcPr>
            <w:tcW w:w="4342"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917" w:type="dxa"/>
            <w:gridSpan w:val="6"/>
            <w:tcBorders/>
            <w:vAlign w:val="bottom"/>
          </w:tcPr>
          <w:p>
            <w:pPr>
              <w:pStyle w:val="TableContents"/>
              <w:bidi w:val="0"/>
              <w:spacing w:before="0" w:after="283"/>
              <w:jc w:val="center"/>
              <w:rPr>
                <w:b/>
              </w:rPr>
            </w:pPr>
            <w:r>
              <w:rPr>
                <w:b/>
              </w:rPr>
              <w:t>For the Six months Ended</w:t>
              <w:br/>
              <w:t>June 30,</w:t>
            </w:r>
          </w:p>
        </w:tc>
        <w:tc>
          <w:tcPr>
            <w:tcW w:w="158" w:type="dxa"/>
            <w:tcBorders/>
            <w:vAlign w:val="bottom"/>
          </w:tcPr>
          <w:p>
            <w:pPr>
              <w:pStyle w:val="TableContents"/>
              <w:bidi w:val="0"/>
              <w:spacing w:before="0" w:after="283"/>
              <w:jc w:val="left"/>
              <w:rPr/>
            </w:pPr>
            <w:r>
              <w:rPr/>
              <w:t> </w:t>
            </w:r>
          </w:p>
        </w:tc>
      </w:tr>
      <w:tr>
        <w:trPr/>
        <w:tc>
          <w:tcPr>
            <w:tcW w:w="434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23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9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158" w:type="dxa"/>
            <w:tcBorders/>
            <w:vAlign w:val="bottom"/>
          </w:tcPr>
          <w:p>
            <w:pPr>
              <w:pStyle w:val="TableContents"/>
              <w:bidi w:val="0"/>
              <w:spacing w:before="0" w:after="283"/>
              <w:jc w:val="left"/>
              <w:rPr/>
            </w:pPr>
            <w:r>
              <w:rPr/>
              <w:t> </w:t>
            </w:r>
          </w:p>
        </w:tc>
      </w:tr>
      <w:tr>
        <w:trPr/>
        <w:tc>
          <w:tcPr>
            <w:tcW w:w="43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income tax expenses</w:t>
            </w:r>
          </w:p>
        </w:tc>
        <w:tc>
          <w:tcPr>
            <w:tcW w:w="33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b/>
              </w:rPr>
            </w:pPr>
            <w:r>
              <w:rPr>
                <w:b/>
              </w:rPr>
              <w:t>75,944</w:t>
            </w:r>
          </w:p>
        </w:tc>
        <w:tc>
          <w:tcPr>
            <w:tcW w:w="9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6,870</w:t>
            </w:r>
          </w:p>
        </w:tc>
        <w:tc>
          <w:tcPr>
            <w:tcW w:w="158" w:type="dxa"/>
            <w:tcBorders/>
            <w:shd w:fill="CCEEFF" w:val="clear"/>
            <w:vAlign w:val="bottom"/>
          </w:tcPr>
          <w:p>
            <w:pPr>
              <w:pStyle w:val="TableContents"/>
              <w:bidi w:val="0"/>
              <w:spacing w:before="0" w:after="283"/>
              <w:jc w:val="left"/>
              <w:rPr/>
            </w:pPr>
            <w:r>
              <w:rPr/>
              <w:t> </w:t>
            </w:r>
          </w:p>
        </w:tc>
      </w:tr>
      <w:tr>
        <w:trPr/>
        <w:tc>
          <w:tcPr>
            <w:tcW w:w="43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income tax expenses (benefit)</w:t>
            </w:r>
          </w:p>
        </w:tc>
        <w:tc>
          <w:tcPr>
            <w:tcW w:w="33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b/>
              </w:rPr>
            </w:pPr>
            <w:r>
              <w:rPr>
                <w:b/>
              </w:rPr>
              <w:t>7,588</w:t>
            </w:r>
          </w:p>
        </w:tc>
        <w:tc>
          <w:tcPr>
            <w:tcW w:w="9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(8,300</w:t>
            </w:r>
          </w:p>
        </w:tc>
        <w:tc>
          <w:tcPr>
            <w:tcW w:w="158" w:type="dxa"/>
            <w:tcBorders/>
            <w:vAlign w:val="bottom"/>
          </w:tcPr>
          <w:p>
            <w:pPr>
              <w:pStyle w:val="TableContents"/>
              <w:bidi w:val="0"/>
              <w:spacing w:before="0" w:after="283"/>
              <w:jc w:val="left"/>
              <w:rPr/>
            </w:pPr>
            <w:r>
              <w:rPr/>
              <w:t>) </w:t>
            </w:r>
          </w:p>
        </w:tc>
      </w:tr>
      <w:tr>
        <w:trPr/>
        <w:tc>
          <w:tcPr>
            <w:tcW w:w="4342"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99"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expenses (benefit)</w:t>
            </w:r>
          </w:p>
        </w:tc>
        <w:tc>
          <w:tcPr>
            <w:tcW w:w="33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b/>
              </w:rPr>
            </w:pPr>
            <w:r>
              <w:rPr>
                <w:b/>
              </w:rPr>
              <w:t>83,532</w:t>
            </w:r>
          </w:p>
        </w:tc>
        <w:tc>
          <w:tcPr>
            <w:tcW w:w="9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(1,430</w:t>
            </w:r>
          </w:p>
        </w:tc>
        <w:tc>
          <w:tcPr>
            <w:tcW w:w="158" w:type="dxa"/>
            <w:tcBorders/>
            <w:shd w:fill="CCEEFF" w:val="clear"/>
            <w:vAlign w:val="bottom"/>
          </w:tcPr>
          <w:p>
            <w:pPr>
              <w:pStyle w:val="TableContents"/>
              <w:bidi w:val="0"/>
              <w:spacing w:before="0" w:after="283"/>
              <w:jc w:val="left"/>
              <w:rPr/>
            </w:pPr>
            <w:r>
              <w:rPr/>
              <w:t>) </w:t>
            </w:r>
          </w:p>
        </w:tc>
      </w:tr>
      <w:tr>
        <w:trPr/>
        <w:tc>
          <w:tcPr>
            <w:tcW w:w="4342"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99"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loss per share and diluted loss per share have been calculated in accordance with ASC 260 on computation of earnings per share for the six months ended June 30, 2026 and 2025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69"/>
        <w:gridCol w:w="213"/>
        <w:gridCol w:w="60"/>
        <w:gridCol w:w="1533"/>
        <w:gridCol w:w="156"/>
        <w:gridCol w:w="171"/>
        <w:gridCol w:w="60"/>
        <w:gridCol w:w="1533"/>
        <w:gridCol w:w="160"/>
      </w:tblGrid>
      <w:tr>
        <w:trPr/>
        <w:tc>
          <w:tcPr>
            <w:tcW w:w="3869"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513"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60" w:type="dxa"/>
            <w:tcBorders/>
            <w:vAlign w:val="bottom"/>
          </w:tcPr>
          <w:p>
            <w:pPr>
              <w:pStyle w:val="TableContents"/>
              <w:bidi w:val="0"/>
              <w:spacing w:before="0" w:after="283"/>
              <w:jc w:val="left"/>
              <w:rPr/>
            </w:pPr>
            <w:r>
              <w:rPr/>
              <w:t> </w:t>
            </w:r>
          </w:p>
        </w:tc>
      </w:tr>
      <w:tr>
        <w:trPr/>
        <w:tc>
          <w:tcPr>
            <w:tcW w:w="38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593" w:type="dxa"/>
            <w:gridSpan w:val="2"/>
            <w:tcBorders/>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93" w:type="dxa"/>
            <w:gridSpan w:val="2"/>
            <w:tcBorders/>
            <w:vAlign w:val="bottom"/>
          </w:tcPr>
          <w:p>
            <w:pPr>
              <w:pStyle w:val="TableContents"/>
              <w:bidi w:val="0"/>
              <w:spacing w:before="0" w:after="283"/>
              <w:jc w:val="center"/>
              <w:rPr/>
            </w:pPr>
            <w:r>
              <w:rPr/>
              <w:t>2025</w:t>
            </w:r>
          </w:p>
        </w:tc>
        <w:tc>
          <w:tcPr>
            <w:tcW w:w="160" w:type="dxa"/>
            <w:tcBorders/>
            <w:vAlign w:val="bottom"/>
          </w:tcPr>
          <w:p>
            <w:pPr>
              <w:pStyle w:val="TableContents"/>
              <w:bidi w:val="0"/>
              <w:spacing w:before="0" w:after="283"/>
              <w:jc w:val="left"/>
              <w:rPr/>
            </w:pPr>
            <w:r>
              <w:rPr/>
              <w:t> </w:t>
            </w:r>
          </w:p>
        </w:tc>
      </w:tr>
      <w:tr>
        <w:trPr/>
        <w:tc>
          <w:tcPr>
            <w:tcW w:w="38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593" w:type="dxa"/>
            <w:gridSpan w:val="2"/>
            <w:tcBorders/>
            <w:vAlign w:val="bottom"/>
          </w:tcPr>
          <w:p>
            <w:pPr>
              <w:pStyle w:val="TableContents"/>
              <w:bidi w:val="0"/>
              <w:spacing w:before="0" w:after="283"/>
              <w:jc w:val="center"/>
              <w:rPr>
                <w:b/>
                <w:i/>
              </w:rPr>
            </w:pPr>
            <w:r>
              <w:rPr>
                <w:b/>
                <w:i/>
              </w:rPr>
              <w:t>RMB’000</w:t>
            </w:r>
          </w:p>
        </w:tc>
        <w:tc>
          <w:tcPr>
            <w:tcW w:w="15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93" w:type="dxa"/>
            <w:gridSpan w:val="2"/>
            <w:tcBorders/>
            <w:vAlign w:val="bottom"/>
          </w:tcPr>
          <w:p>
            <w:pPr>
              <w:pStyle w:val="TableContents"/>
              <w:bidi w:val="0"/>
              <w:spacing w:before="0" w:after="283"/>
              <w:jc w:val="center"/>
              <w:rPr>
                <w:i/>
              </w:rPr>
            </w:pPr>
            <w:r>
              <w:rPr>
                <w:i/>
              </w:rPr>
              <w:t>RMB’000</w:t>
            </w:r>
          </w:p>
        </w:tc>
        <w:tc>
          <w:tcPr>
            <w:tcW w:w="160" w:type="dxa"/>
            <w:tcBorders/>
            <w:vAlign w:val="bottom"/>
          </w:tcPr>
          <w:p>
            <w:pPr>
              <w:pStyle w:val="TableContents"/>
              <w:bidi w:val="0"/>
              <w:spacing w:before="0" w:after="283"/>
              <w:jc w:val="left"/>
              <w:rPr/>
            </w:pPr>
            <w:r>
              <w:rPr/>
              <w:t> </w:t>
            </w:r>
          </w:p>
        </w:tc>
      </w:tr>
      <w:tr>
        <w:trPr/>
        <w:tc>
          <w:tcPr>
            <w:tcW w:w="38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b/>
              </w:rPr>
            </w:pPr>
            <w:r>
              <w:rPr>
                <w:b/>
              </w:rPr>
              <w:t>(3,121,164</w:t>
            </w:r>
          </w:p>
        </w:tc>
        <w:tc>
          <w:tcPr>
            <w:tcW w:w="156" w:type="dxa"/>
            <w:tcBorders/>
            <w:vAlign w:val="bottom"/>
          </w:tcPr>
          <w:p>
            <w:pPr>
              <w:pStyle w:val="TableContents"/>
              <w:bidi w:val="0"/>
              <w:spacing w:before="0" w:after="283"/>
              <w:jc w:val="left"/>
              <w:rPr>
                <w:b/>
              </w:rPr>
            </w:pPr>
            <w:r>
              <w:rPr>
                <w:b/>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(1,141,800</w:t>
            </w:r>
          </w:p>
        </w:tc>
        <w:tc>
          <w:tcPr>
            <w:tcW w:w="160" w:type="dxa"/>
            <w:tcBorders/>
            <w:vAlign w:val="bottom"/>
          </w:tcPr>
          <w:p>
            <w:pPr>
              <w:pStyle w:val="TableContents"/>
              <w:bidi w:val="0"/>
              <w:spacing w:before="0" w:after="283"/>
              <w:jc w:val="left"/>
              <w:rPr/>
            </w:pPr>
            <w:r>
              <w:rPr/>
              <w:t>) </w:t>
            </w:r>
          </w:p>
        </w:tc>
      </w:tr>
      <w:tr>
        <w:trPr/>
        <w:tc>
          <w:tcPr>
            <w:tcW w:w="3869"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ordinary shareholders of XPeng Inc.</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b/>
              </w:rPr>
            </w:pPr>
            <w:r>
              <w:rPr>
                <w:b/>
              </w:rPr>
              <w:t>(3,121,164</w:t>
            </w:r>
          </w:p>
        </w:tc>
        <w:tc>
          <w:tcPr>
            <w:tcW w:w="156" w:type="dxa"/>
            <w:tcBorders/>
            <w:shd w:fill="CCEEFF" w:val="clear"/>
            <w:vAlign w:val="bottom"/>
          </w:tcPr>
          <w:p>
            <w:pPr>
              <w:pStyle w:val="TableContents"/>
              <w:bidi w:val="0"/>
              <w:spacing w:before="0" w:after="283"/>
              <w:jc w:val="left"/>
              <w:rPr>
                <w:b/>
              </w:rPr>
            </w:pPr>
            <w:r>
              <w:rPr>
                <w:b/>
              </w:rPr>
              <w:t>) </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(1,141,800</w:t>
            </w:r>
          </w:p>
        </w:tc>
        <w:tc>
          <w:tcPr>
            <w:tcW w:w="160" w:type="dxa"/>
            <w:tcBorders/>
            <w:shd w:fill="CCEEFF" w:val="clear"/>
            <w:vAlign w:val="bottom"/>
          </w:tcPr>
          <w:p>
            <w:pPr>
              <w:pStyle w:val="TableContents"/>
              <w:bidi w:val="0"/>
              <w:spacing w:before="0" w:after="283"/>
              <w:jc w:val="left"/>
              <w:rPr/>
            </w:pPr>
            <w:r>
              <w:rPr/>
              <w:t>) </w:t>
            </w:r>
          </w:p>
        </w:tc>
      </w:tr>
      <w:tr>
        <w:trPr/>
        <w:tc>
          <w:tcPr>
            <w:tcW w:w="3869"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69" w:type="dxa"/>
            <w:tcBorders/>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8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number of ordinary shares outstanding-basic and diluted</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b/>
              </w:rPr>
            </w:pPr>
            <w:r>
              <w:rPr>
                <w:b/>
              </w:rPr>
              <w:t>1,911,657,495</w:t>
            </w:r>
          </w:p>
        </w:tc>
        <w:tc>
          <w:tcPr>
            <w:tcW w:w="15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1,900,912,109</w:t>
            </w:r>
          </w:p>
        </w:tc>
        <w:tc>
          <w:tcPr>
            <w:tcW w:w="160" w:type="dxa"/>
            <w:tcBorders/>
            <w:shd w:fill="CCEEFF" w:val="clear"/>
            <w:vAlign w:val="bottom"/>
          </w:tcPr>
          <w:p>
            <w:pPr>
              <w:pStyle w:val="TableContents"/>
              <w:bidi w:val="0"/>
              <w:spacing w:before="0" w:after="283"/>
              <w:jc w:val="left"/>
              <w:rPr/>
            </w:pPr>
            <w:r>
              <w:rPr/>
              <w:t> </w:t>
            </w:r>
          </w:p>
        </w:tc>
      </w:tr>
      <w:tr>
        <w:trPr/>
        <w:tc>
          <w:tcPr>
            <w:tcW w:w="3869"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 attributable to ordinary shareholders of XPeng Inc.</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b/>
              </w:rPr>
            </w:pPr>
            <w:r>
              <w:rPr>
                <w:b/>
              </w:rPr>
              <w:t>(1.63</w:t>
            </w:r>
          </w:p>
        </w:tc>
        <w:tc>
          <w:tcPr>
            <w:tcW w:w="156" w:type="dxa"/>
            <w:tcBorders/>
            <w:vAlign w:val="bottom"/>
          </w:tcPr>
          <w:p>
            <w:pPr>
              <w:pStyle w:val="TableContents"/>
              <w:bidi w:val="0"/>
              <w:spacing w:before="0" w:after="283"/>
              <w:jc w:val="left"/>
              <w:rPr>
                <w:b/>
              </w:rPr>
            </w:pPr>
            <w:r>
              <w:rPr>
                <w:b/>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(0.60</w:t>
            </w:r>
          </w:p>
        </w:tc>
        <w:tc>
          <w:tcPr>
            <w:tcW w:w="160" w:type="dxa"/>
            <w:tcBorders/>
            <w:vAlign w:val="bottom"/>
          </w:tcPr>
          <w:p>
            <w:pPr>
              <w:pStyle w:val="TableContents"/>
              <w:bidi w:val="0"/>
              <w:spacing w:before="0" w:after="283"/>
              <w:jc w:val="left"/>
              <w:rPr/>
            </w:pPr>
            <w:r>
              <w:rPr/>
              <w:t>) </w:t>
            </w:r>
          </w:p>
        </w:tc>
      </w:tr>
      <w:tr>
        <w:trPr/>
        <w:tc>
          <w:tcPr>
            <w:tcW w:w="3869"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33"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3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2026 and 2025, the Company had potential ordinary shares, including non-vested RSUs granted and contingently issuable shares relating to contingent consideration. As the Group incurred losses for the six months ended June 30, 2026 and 2025, these potential ordinary shares were anti-dilutive and excluded from the calculation of diluted net loss per share of the Company. The weighted-average numbers of non-vested RSUs excluded from the calculation of diluted net loss per share of the Company were 55,292,182 and 33,072,605 as of June 30, 2026 and 2025, respectively. The number of contingently issuable shares relating to contingent consideration excluded from the calculation of diluted net loss per share of the Company is between nil and 14,276,521, between nil and 14,276,521, as of June 30, 2026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 Accounts and Notes Receivable, net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75"/>
        <w:gridCol w:w="183"/>
        <w:gridCol w:w="60"/>
        <w:gridCol w:w="985"/>
        <w:gridCol w:w="60"/>
        <w:gridCol w:w="183"/>
        <w:gridCol w:w="60"/>
        <w:gridCol w:w="985"/>
        <w:gridCol w:w="64"/>
      </w:tblGrid>
      <w:tr>
        <w:trPr/>
        <w:tc>
          <w:tcPr>
            <w:tcW w:w="51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b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64" w:type="dxa"/>
            <w:tcBorders/>
            <w:vAlign w:val="bottom"/>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611,087</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842,940</w:t>
            </w:r>
          </w:p>
        </w:tc>
        <w:tc>
          <w:tcPr>
            <w:tcW w:w="64" w:type="dxa"/>
            <w:tcBorders/>
            <w:shd w:fill="CCEEFF" w:val="clear"/>
            <w:vAlign w:val="bottom"/>
          </w:tcPr>
          <w:p>
            <w:pPr>
              <w:pStyle w:val="TableContents"/>
              <w:bidi w:val="0"/>
              <w:spacing w:before="0" w:after="283"/>
              <w:jc w:val="left"/>
              <w:rPr/>
            </w:pPr>
            <w:r>
              <w:rPr/>
              <w:t> </w:t>
            </w:r>
          </w:p>
        </w:tc>
      </w:tr>
      <w:tr>
        <w:trPr/>
        <w:tc>
          <w:tcPr>
            <w:tcW w:w="5175" w:type="dxa"/>
            <w:tcBorders/>
          </w:tcPr>
          <w:p>
            <w:pPr>
              <w:pStyle w:val="TableContents"/>
              <w:bidi w:val="0"/>
              <w:spacing w:before="0" w:after="0"/>
              <w:jc w:val="left"/>
              <w:rPr>
                <w:rFonts w:ascii="Times New Roman" w:hAnsi="Times New Roman"/>
                <w:sz w:val="20"/>
              </w:rPr>
            </w:pPr>
            <w:r>
              <w:rPr>
                <w:rFonts w:ascii="Times New Roman" w:hAnsi="Times New Roman"/>
                <w:sz w:val="20"/>
              </w:rPr>
              <w:t>Notes receivable</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529,192</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1,153,977</w:t>
            </w:r>
          </w:p>
        </w:tc>
        <w:tc>
          <w:tcPr>
            <w:tcW w:w="64" w:type="dxa"/>
            <w:tcBorders/>
            <w:vAlign w:val="bottom"/>
          </w:tcPr>
          <w:p>
            <w:pPr>
              <w:pStyle w:val="TableContents"/>
              <w:bidi w:val="0"/>
              <w:spacing w:before="0" w:after="283"/>
              <w:jc w:val="left"/>
              <w:rPr/>
            </w:pPr>
            <w:r>
              <w:rPr/>
              <w:t> </w:t>
            </w:r>
          </w:p>
        </w:tc>
      </w:tr>
      <w:tr>
        <w:trPr/>
        <w:tc>
          <w:tcPr>
            <w:tcW w:w="517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1,140,279</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1,996,917</w:t>
            </w:r>
          </w:p>
        </w:tc>
        <w:tc>
          <w:tcPr>
            <w:tcW w:w="64" w:type="dxa"/>
            <w:tcBorders/>
            <w:shd w:fill="CCEEFF" w:val="clear"/>
            <w:vAlign w:val="bottom"/>
          </w:tcPr>
          <w:p>
            <w:pPr>
              <w:pStyle w:val="TableContents"/>
              <w:bidi w:val="0"/>
              <w:spacing w:before="0" w:after="283"/>
              <w:jc w:val="left"/>
              <w:rPr/>
            </w:pPr>
            <w:r>
              <w:rPr/>
              <w:t> </w:t>
            </w:r>
          </w:p>
        </w:tc>
      </w:tr>
      <w:tr>
        <w:trPr/>
        <w:tc>
          <w:tcPr>
            <w:tcW w:w="517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Accounts receivable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0"/>
        <w:gridCol w:w="308"/>
        <w:gridCol w:w="60"/>
        <w:gridCol w:w="805"/>
        <w:gridCol w:w="157"/>
        <w:gridCol w:w="250"/>
        <w:gridCol w:w="66"/>
        <w:gridCol w:w="917"/>
        <w:gridCol w:w="162"/>
      </w:tblGrid>
      <w:tr>
        <w:trPr/>
        <w:tc>
          <w:tcPr>
            <w:tcW w:w="503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6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b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15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b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162"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gross</w:t>
            </w:r>
          </w:p>
        </w:tc>
        <w:tc>
          <w:tcPr>
            <w:tcW w:w="3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634,341</w:t>
            </w:r>
          </w:p>
        </w:tc>
        <w:tc>
          <w:tcPr>
            <w:tcW w:w="15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932,187</w:t>
            </w:r>
          </w:p>
        </w:tc>
        <w:tc>
          <w:tcPr>
            <w:tcW w:w="162"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b/>
              </w:rPr>
            </w:pPr>
            <w:r>
              <w:rPr>
                <w:b/>
              </w:rPr>
              <w:t>(23,254</w:t>
            </w:r>
          </w:p>
        </w:tc>
        <w:tc>
          <w:tcPr>
            <w:tcW w:w="157" w:type="dxa"/>
            <w:tcBorders/>
            <w:vAlign w:val="bottom"/>
          </w:tcPr>
          <w:p>
            <w:pPr>
              <w:pStyle w:val="TableContents"/>
              <w:bidi w:val="0"/>
              <w:spacing w:before="0" w:after="283"/>
              <w:jc w:val="left"/>
              <w:rPr>
                <w:b/>
              </w:rPr>
            </w:pPr>
            <w:r>
              <w:rPr>
                <w:b/>
              </w:rPr>
              <w:t>) </w:t>
            </w:r>
          </w:p>
        </w:tc>
        <w:tc>
          <w:tcPr>
            <w:tcW w:w="2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(89,247</w:t>
            </w:r>
          </w:p>
        </w:tc>
        <w:tc>
          <w:tcPr>
            <w:tcW w:w="162"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611,087</w:t>
            </w:r>
          </w:p>
        </w:tc>
        <w:tc>
          <w:tcPr>
            <w:tcW w:w="15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842,940</w:t>
            </w:r>
          </w:p>
        </w:tc>
        <w:tc>
          <w:tcPr>
            <w:tcW w:w="162"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91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accounts receivable mainly included the amounts of vehicle sales in relation to government subsidies to be collected from government on behalf of customers and large-volume buyers for vehicle sales in the ordinary course. Sales to individual customers were normally made with advances from customers. Sales to large-volume buyers were made on credit terms ranging from 30 to 60 days. </w:t>
      </w:r>
    </w:p>
    <w:p>
      <w:pPr>
        <w:pStyle w:val="TextBody"/>
        <w:bidi w:val="0"/>
        <w:spacing w:before="120" w:after="0"/>
        <w:jc w:val="left"/>
        <w:rPr>
          <w:rFonts w:ascii="Times New Roman" w:hAnsi="Times New Roman"/>
          <w:sz w:val="20"/>
        </w:rPr>
      </w:pPr>
      <w:r>
        <w:rPr>
          <w:rFonts w:ascii="Times New Roman" w:hAnsi="Times New Roman"/>
          <w:sz w:val="20"/>
        </w:rPr>
        <w:t xml:space="preserve">An aging analysis of accounts receivable based on the relevant recognition dates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77"/>
        <w:gridCol w:w="311"/>
        <w:gridCol w:w="60"/>
        <w:gridCol w:w="800"/>
        <w:gridCol w:w="60"/>
        <w:gridCol w:w="311"/>
        <w:gridCol w:w="66"/>
        <w:gridCol w:w="907"/>
        <w:gridCol w:w="63"/>
      </w:tblGrid>
      <w:tr>
        <w:trPr/>
        <w:tc>
          <w:tcPr>
            <w:tcW w:w="517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77"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b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73"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b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63" w:type="dxa"/>
            <w:tcBorders/>
            <w:vAlign w:val="bottom"/>
          </w:tcPr>
          <w:p>
            <w:pPr>
              <w:pStyle w:val="TableContents"/>
              <w:bidi w:val="0"/>
              <w:spacing w:before="0" w:after="283"/>
              <w:jc w:val="left"/>
              <w:rPr/>
            </w:pPr>
            <w:r>
              <w:rPr/>
              <w:t> </w:t>
            </w:r>
          </w:p>
        </w:tc>
      </w:tr>
      <w:tr>
        <w:trPr/>
        <w:tc>
          <w:tcPr>
            <w:tcW w:w="51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0–3 months</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444,503</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635,402</w:t>
            </w:r>
          </w:p>
        </w:tc>
        <w:tc>
          <w:tcPr>
            <w:tcW w:w="63" w:type="dxa"/>
            <w:tcBorders/>
            <w:shd w:fill="CCEEFF" w:val="clear"/>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3–6 months</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7,276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18,756</w:t>
            </w:r>
          </w:p>
        </w:tc>
        <w:tc>
          <w:tcPr>
            <w:tcW w:w="63" w:type="dxa"/>
            <w:tcBorders/>
            <w:vAlign w:val="bottom"/>
          </w:tcPr>
          <w:p>
            <w:pPr>
              <w:pStyle w:val="TableContents"/>
              <w:bidi w:val="0"/>
              <w:spacing w:before="0" w:after="283"/>
              <w:jc w:val="left"/>
              <w:rPr/>
            </w:pPr>
            <w:r>
              <w:rPr/>
              <w:t> </w:t>
            </w:r>
          </w:p>
        </w:tc>
      </w:tr>
      <w:tr>
        <w:trPr/>
        <w:tc>
          <w:tcPr>
            <w:tcW w:w="51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6–12 months</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3,523</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5,507</w:t>
            </w:r>
          </w:p>
        </w:tc>
        <w:tc>
          <w:tcPr>
            <w:tcW w:w="63" w:type="dxa"/>
            <w:tcBorders/>
            <w:shd w:fill="CCEEFF" w:val="clear"/>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Over 1 year</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179,039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272,522</w:t>
            </w:r>
          </w:p>
        </w:tc>
        <w:tc>
          <w:tcPr>
            <w:tcW w:w="63" w:type="dxa"/>
            <w:tcBorders/>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 gross</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634,341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932,187</w:t>
            </w:r>
          </w:p>
        </w:tc>
        <w:tc>
          <w:tcPr>
            <w:tcW w:w="63" w:type="dxa"/>
            <w:tcBorders/>
            <w:shd w:fill="CCEEFF" w:val="clear"/>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receivable mainly included the amounts of vehicle sales in relation to large-volume buyers for vehicle sales in the ordinary course. Sales to large-volume buyers were made on credit terms ranging from 30 to 150 days. </w:t>
      </w:r>
    </w:p>
    <w:p>
      <w:pPr>
        <w:pStyle w:val="TextBody"/>
        <w:bidi w:val="0"/>
        <w:spacing w:before="120" w:after="0"/>
        <w:jc w:val="left"/>
        <w:rPr>
          <w:rFonts w:ascii="Times New Roman" w:hAnsi="Times New Roman"/>
          <w:sz w:val="20"/>
        </w:rPr>
      </w:pPr>
      <w:r>
        <w:rPr>
          <w:rFonts w:ascii="Times New Roman" w:hAnsi="Times New Roman"/>
          <w:sz w:val="20"/>
        </w:rPr>
        <w:t xml:space="preserve">An aging analysis of notes receivable based on the relevant issuance dates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2"/>
        <w:gridCol w:w="247"/>
        <w:gridCol w:w="60"/>
        <w:gridCol w:w="836"/>
        <w:gridCol w:w="60"/>
        <w:gridCol w:w="247"/>
        <w:gridCol w:w="60"/>
        <w:gridCol w:w="989"/>
        <w:gridCol w:w="64"/>
      </w:tblGrid>
      <w:tr>
        <w:trPr/>
        <w:tc>
          <w:tcPr>
            <w:tcW w:w="519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9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96"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b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49"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b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64" w:type="dxa"/>
            <w:tcBorders/>
            <w:vAlign w:val="bottom"/>
          </w:tcPr>
          <w:p>
            <w:pPr>
              <w:pStyle w:val="TableContents"/>
              <w:bidi w:val="0"/>
              <w:spacing w:before="0" w:after="283"/>
              <w:jc w:val="left"/>
              <w:rPr/>
            </w:pPr>
            <w:r>
              <w:rPr/>
              <w:t> </w:t>
            </w:r>
          </w:p>
        </w:tc>
      </w:tr>
      <w:tr>
        <w:trPr/>
        <w:tc>
          <w:tcPr>
            <w:tcW w:w="5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0–3 months</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529,192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840,296</w:t>
            </w:r>
          </w:p>
        </w:tc>
        <w:tc>
          <w:tcPr>
            <w:tcW w:w="64" w:type="dxa"/>
            <w:tcBorders/>
            <w:shd w:fill="CCEEFF" w:val="clear"/>
            <w:vAlign w:val="bottom"/>
          </w:tcPr>
          <w:p>
            <w:pPr>
              <w:pStyle w:val="TableContents"/>
              <w:bidi w:val="0"/>
              <w:spacing w:before="0" w:after="283"/>
              <w:jc w:val="left"/>
              <w:rPr/>
            </w:pPr>
            <w:r>
              <w:rPr/>
              <w:t> </w:t>
            </w:r>
          </w:p>
        </w:tc>
      </w:tr>
      <w:tr>
        <w:trPr/>
        <w:tc>
          <w:tcPr>
            <w:tcW w:w="5192" w:type="dxa"/>
            <w:tcBorders/>
          </w:tcPr>
          <w:p>
            <w:pPr>
              <w:pStyle w:val="TableContents"/>
              <w:bidi w:val="0"/>
              <w:spacing w:before="0" w:after="0"/>
              <w:jc w:val="left"/>
              <w:rPr>
                <w:rFonts w:ascii="Times New Roman" w:hAnsi="Times New Roman"/>
                <w:sz w:val="20"/>
              </w:rPr>
            </w:pPr>
            <w:r>
              <w:rPr>
                <w:rFonts w:ascii="Times New Roman" w:hAnsi="Times New Roman"/>
                <w:sz w:val="20"/>
              </w:rPr>
              <w:t>3–6 months</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313,681</w:t>
            </w:r>
          </w:p>
        </w:tc>
        <w:tc>
          <w:tcPr>
            <w:tcW w:w="64" w:type="dxa"/>
            <w:tcBorders/>
            <w:vAlign w:val="bottom"/>
          </w:tcPr>
          <w:p>
            <w:pPr>
              <w:pStyle w:val="TableContents"/>
              <w:bidi w:val="0"/>
              <w:spacing w:before="0" w:after="283"/>
              <w:jc w:val="left"/>
              <w:rPr/>
            </w:pPr>
            <w:r>
              <w:rPr/>
              <w:t> </w:t>
            </w:r>
          </w:p>
        </w:tc>
      </w:tr>
      <w:tr>
        <w:trPr/>
        <w:tc>
          <w:tcPr>
            <w:tcW w:w="5192"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529,192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1,153,977</w:t>
            </w:r>
          </w:p>
        </w:tc>
        <w:tc>
          <w:tcPr>
            <w:tcW w:w="64" w:type="dxa"/>
            <w:tcBorders/>
            <w:shd w:fill="CCEEFF" w:val="clear"/>
            <w:vAlign w:val="bottom"/>
          </w:tcPr>
          <w:p>
            <w:pPr>
              <w:pStyle w:val="TableContents"/>
              <w:bidi w:val="0"/>
              <w:spacing w:before="0" w:after="283"/>
              <w:jc w:val="left"/>
              <w:rPr/>
            </w:pPr>
            <w:r>
              <w:rPr/>
              <w:t> </w:t>
            </w:r>
          </w:p>
        </w:tc>
      </w:tr>
      <w:tr>
        <w:trPr/>
        <w:tc>
          <w:tcPr>
            <w:tcW w:w="5192"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7. Accounts Payable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35"/>
        <w:gridCol w:w="182"/>
        <w:gridCol w:w="60"/>
        <w:gridCol w:w="1106"/>
        <w:gridCol w:w="60"/>
        <w:gridCol w:w="182"/>
        <w:gridCol w:w="60"/>
        <w:gridCol w:w="1106"/>
        <w:gridCol w:w="64"/>
      </w:tblGrid>
      <w:tr>
        <w:trPr/>
        <w:tc>
          <w:tcPr>
            <w:tcW w:w="493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3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b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64" w:type="dxa"/>
            <w:tcBorders/>
            <w:vAlign w:val="bottom"/>
          </w:tcPr>
          <w:p>
            <w:pPr>
              <w:pStyle w:val="TableContents"/>
              <w:bidi w:val="0"/>
              <w:spacing w:before="0" w:after="283"/>
              <w:jc w:val="left"/>
              <w:rPr/>
            </w:pPr>
            <w:r>
              <w:rPr/>
              <w:t> </w:t>
            </w:r>
          </w:p>
        </w:tc>
      </w:tr>
      <w:tr>
        <w:trPr/>
        <w:tc>
          <w:tcPr>
            <w:tcW w:w="4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15,721,318</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18,001,675</w:t>
            </w:r>
          </w:p>
        </w:tc>
        <w:tc>
          <w:tcPr>
            <w:tcW w:w="64" w:type="dxa"/>
            <w:tcBorders/>
            <w:shd w:fill="CCEEFF" w:val="clear"/>
            <w:vAlign w:val="bottom"/>
          </w:tcPr>
          <w:p>
            <w:pPr>
              <w:pStyle w:val="TableContents"/>
              <w:bidi w:val="0"/>
              <w:spacing w:before="0" w:after="283"/>
              <w:jc w:val="left"/>
              <w:rPr/>
            </w:pPr>
            <w:r>
              <w:rPr/>
              <w:t> </w:t>
            </w:r>
          </w:p>
        </w:tc>
      </w:tr>
      <w:tr>
        <w:trPr/>
        <w:tc>
          <w:tcPr>
            <w:tcW w:w="493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normally receives credit terms of 0 to 60 days from its suppliers. An aging analysis of accounts payable based on the relevant recognition dates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46"/>
        <w:gridCol w:w="183"/>
        <w:gridCol w:w="60"/>
        <w:gridCol w:w="1100"/>
        <w:gridCol w:w="60"/>
        <w:gridCol w:w="183"/>
        <w:gridCol w:w="60"/>
        <w:gridCol w:w="1100"/>
        <w:gridCol w:w="63"/>
      </w:tblGrid>
      <w:tr>
        <w:trPr/>
        <w:tc>
          <w:tcPr>
            <w:tcW w:w="4946"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b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63" w:type="dxa"/>
            <w:tcBorders/>
            <w:vAlign w:val="bottom"/>
          </w:tcPr>
          <w:p>
            <w:pPr>
              <w:pStyle w:val="TableContents"/>
              <w:bidi w:val="0"/>
              <w:spacing w:before="0" w:after="283"/>
              <w:jc w:val="left"/>
              <w:rPr/>
            </w:pPr>
            <w:r>
              <w:rPr/>
              <w:t> </w:t>
            </w:r>
          </w:p>
        </w:tc>
      </w:tr>
      <w:tr>
        <w:trPr/>
        <w:tc>
          <w:tcPr>
            <w:tcW w:w="49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0–3 months</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14,546,625</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16,862,769</w:t>
            </w:r>
          </w:p>
        </w:tc>
        <w:tc>
          <w:tcPr>
            <w:tcW w:w="63" w:type="dxa"/>
            <w:tcBorders/>
            <w:shd w:fill="CCEEFF" w:val="clear"/>
            <w:vAlign w:val="bottom"/>
          </w:tcPr>
          <w:p>
            <w:pPr>
              <w:pStyle w:val="TableContents"/>
              <w:bidi w:val="0"/>
              <w:spacing w:before="0" w:after="283"/>
              <w:jc w:val="left"/>
              <w:rPr/>
            </w:pPr>
            <w:r>
              <w:rPr/>
              <w:t> </w:t>
            </w:r>
          </w:p>
        </w:tc>
      </w:tr>
      <w:tr>
        <w:trPr/>
        <w:tc>
          <w:tcPr>
            <w:tcW w:w="49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3–6 months</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761,239</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583,601</w:t>
            </w:r>
          </w:p>
        </w:tc>
        <w:tc>
          <w:tcPr>
            <w:tcW w:w="63" w:type="dxa"/>
            <w:tcBorders/>
            <w:vAlign w:val="bottom"/>
          </w:tcPr>
          <w:p>
            <w:pPr>
              <w:pStyle w:val="TableContents"/>
              <w:bidi w:val="0"/>
              <w:spacing w:before="0" w:after="283"/>
              <w:jc w:val="left"/>
              <w:rPr/>
            </w:pPr>
            <w:r>
              <w:rPr/>
              <w:t> </w:t>
            </w:r>
          </w:p>
        </w:tc>
      </w:tr>
      <w:tr>
        <w:trPr/>
        <w:tc>
          <w:tcPr>
            <w:tcW w:w="49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6–12 months</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281,383</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361,753</w:t>
            </w:r>
          </w:p>
        </w:tc>
        <w:tc>
          <w:tcPr>
            <w:tcW w:w="63" w:type="dxa"/>
            <w:tcBorders/>
            <w:shd w:fill="CCEEFF" w:val="clear"/>
            <w:vAlign w:val="bottom"/>
          </w:tcPr>
          <w:p>
            <w:pPr>
              <w:pStyle w:val="TableContents"/>
              <w:bidi w:val="0"/>
              <w:spacing w:before="0" w:after="283"/>
              <w:jc w:val="left"/>
              <w:rPr/>
            </w:pPr>
            <w:r>
              <w:rPr/>
              <w:t> </w:t>
            </w:r>
          </w:p>
        </w:tc>
      </w:tr>
      <w:tr>
        <w:trPr/>
        <w:tc>
          <w:tcPr>
            <w:tcW w:w="49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Over 1 year</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132,071</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193,552</w:t>
            </w:r>
          </w:p>
        </w:tc>
        <w:tc>
          <w:tcPr>
            <w:tcW w:w="63" w:type="dxa"/>
            <w:tcBorders/>
            <w:vAlign w:val="bottom"/>
          </w:tcPr>
          <w:p>
            <w:pPr>
              <w:pStyle w:val="TableContents"/>
              <w:bidi w:val="0"/>
              <w:spacing w:before="0" w:after="283"/>
              <w:jc w:val="left"/>
              <w:rPr/>
            </w:pPr>
            <w:r>
              <w:rPr/>
              <w:t> </w:t>
            </w:r>
          </w:p>
        </w:tc>
      </w:tr>
      <w:tr>
        <w:trPr/>
        <w:tc>
          <w:tcPr>
            <w:tcW w:w="4946"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15,721,318</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18,001,675</w:t>
            </w:r>
          </w:p>
        </w:tc>
        <w:tc>
          <w:tcPr>
            <w:tcW w:w="63" w:type="dxa"/>
            <w:tcBorders/>
            <w:shd w:fill="CCEEFF" w:val="clear"/>
            <w:vAlign w:val="bottom"/>
          </w:tcPr>
          <w:p>
            <w:pPr>
              <w:pStyle w:val="TableContents"/>
              <w:bidi w:val="0"/>
              <w:spacing w:before="0" w:after="283"/>
              <w:jc w:val="left"/>
              <w:rPr/>
            </w:pPr>
            <w:r>
              <w:rPr/>
              <w:t> </w:t>
            </w:r>
          </w:p>
        </w:tc>
      </w:tr>
      <w:tr>
        <w:trPr/>
        <w:tc>
          <w:tcPr>
            <w:tcW w:w="4946"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8. Notes Payable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33"/>
        <w:gridCol w:w="182"/>
        <w:gridCol w:w="60"/>
        <w:gridCol w:w="1108"/>
        <w:gridCol w:w="60"/>
        <w:gridCol w:w="182"/>
        <w:gridCol w:w="60"/>
        <w:gridCol w:w="1108"/>
        <w:gridCol w:w="62"/>
      </w:tblGrid>
      <w:tr>
        <w:trPr/>
        <w:tc>
          <w:tcPr>
            <w:tcW w:w="4933"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9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b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62" w:type="dxa"/>
            <w:tcBorders/>
            <w:vAlign w:val="bottom"/>
          </w:tcPr>
          <w:p>
            <w:pPr>
              <w:pStyle w:val="TableContents"/>
              <w:bidi w:val="0"/>
              <w:spacing w:before="0" w:after="283"/>
              <w:jc w:val="left"/>
              <w:rPr/>
            </w:pPr>
            <w:r>
              <w:rPr/>
              <w:t> </w:t>
            </w:r>
          </w:p>
        </w:tc>
      </w:tr>
      <w:tr>
        <w:trPr/>
        <w:tc>
          <w:tcPr>
            <w:tcW w:w="4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acceptance notes payable</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b/>
              </w:rPr>
            </w:pPr>
            <w:r>
              <w:rPr>
                <w:b/>
              </w:rPr>
              <w:t>13,993,642</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19,161,724</w:t>
            </w:r>
          </w:p>
        </w:tc>
        <w:tc>
          <w:tcPr>
            <w:tcW w:w="62" w:type="dxa"/>
            <w:tcBorders/>
            <w:shd w:fill="CCEEFF" w:val="clear"/>
            <w:vAlign w:val="bottom"/>
          </w:tcPr>
          <w:p>
            <w:pPr>
              <w:pStyle w:val="TableContents"/>
              <w:bidi w:val="0"/>
              <w:spacing w:before="0" w:after="283"/>
              <w:jc w:val="left"/>
              <w:rPr/>
            </w:pPr>
            <w:r>
              <w:rPr/>
              <w:t> </w:t>
            </w:r>
          </w:p>
        </w:tc>
      </w:tr>
      <w:tr>
        <w:trPr/>
        <w:tc>
          <w:tcPr>
            <w:tcW w:w="4933"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bank acceptance notes payable represent trade payable due to various suppliers, for which the banks have guaranteed the payment. The bank acceptance notes payable are transferable and eligible for discounting by suppliers. </w:t>
      </w:r>
    </w:p>
    <w:p>
      <w:pPr>
        <w:pStyle w:val="TextBody"/>
        <w:bidi w:val="0"/>
        <w:spacing w:before="120" w:after="0"/>
        <w:jc w:val="left"/>
        <w:rPr>
          <w:rFonts w:ascii="Times New Roman" w:hAnsi="Times New Roman"/>
          <w:sz w:val="20"/>
        </w:rPr>
      </w:pPr>
      <w:r>
        <w:rPr>
          <w:rFonts w:ascii="Times New Roman" w:hAnsi="Times New Roman"/>
          <w:sz w:val="20"/>
        </w:rPr>
        <w:t xml:space="preserve">An aging analysis of notes payable based on the relevant issuance dates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46"/>
        <w:gridCol w:w="183"/>
        <w:gridCol w:w="60"/>
        <w:gridCol w:w="1100"/>
        <w:gridCol w:w="60"/>
        <w:gridCol w:w="183"/>
        <w:gridCol w:w="60"/>
        <w:gridCol w:w="1100"/>
        <w:gridCol w:w="63"/>
      </w:tblGrid>
      <w:tr>
        <w:trPr/>
        <w:tc>
          <w:tcPr>
            <w:tcW w:w="4946"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June 30,</w:t>
            </w:r>
          </w:p>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 of</w:t>
              <w:br/>
              <w:t>December 31,</w:t>
            </w:r>
          </w:p>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RMB’000</w:t>
            </w:r>
          </w:p>
        </w:tc>
        <w:tc>
          <w:tcPr>
            <w:tcW w:w="63" w:type="dxa"/>
            <w:tcBorders/>
            <w:vAlign w:val="bottom"/>
          </w:tcPr>
          <w:p>
            <w:pPr>
              <w:pStyle w:val="TableContents"/>
              <w:bidi w:val="0"/>
              <w:spacing w:before="0" w:after="283"/>
              <w:jc w:val="left"/>
              <w:rPr/>
            </w:pPr>
            <w:r>
              <w:rPr/>
              <w:t> </w:t>
            </w:r>
          </w:p>
        </w:tc>
      </w:tr>
      <w:tr>
        <w:trPr/>
        <w:tc>
          <w:tcPr>
            <w:tcW w:w="49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0–3 months</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7,146,999</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11,103,257</w:t>
            </w:r>
          </w:p>
        </w:tc>
        <w:tc>
          <w:tcPr>
            <w:tcW w:w="63" w:type="dxa"/>
            <w:tcBorders/>
            <w:shd w:fill="CCEEFF" w:val="clear"/>
            <w:vAlign w:val="bottom"/>
          </w:tcPr>
          <w:p>
            <w:pPr>
              <w:pStyle w:val="TableContents"/>
              <w:bidi w:val="0"/>
              <w:spacing w:before="0" w:after="283"/>
              <w:jc w:val="left"/>
              <w:rPr/>
            </w:pPr>
            <w:r>
              <w:rPr/>
              <w:t> </w:t>
            </w:r>
          </w:p>
        </w:tc>
      </w:tr>
      <w:tr>
        <w:trPr/>
        <w:tc>
          <w:tcPr>
            <w:tcW w:w="49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3–6 months</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6,846,643</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8,058,467</w:t>
            </w:r>
          </w:p>
        </w:tc>
        <w:tc>
          <w:tcPr>
            <w:tcW w:w="63" w:type="dxa"/>
            <w:tcBorders/>
            <w:vAlign w:val="bottom"/>
          </w:tcPr>
          <w:p>
            <w:pPr>
              <w:pStyle w:val="TableContents"/>
              <w:bidi w:val="0"/>
              <w:spacing w:before="0" w:after="283"/>
              <w:jc w:val="left"/>
              <w:rPr/>
            </w:pPr>
            <w:r>
              <w:rPr/>
              <w:t> </w:t>
            </w:r>
          </w:p>
        </w:tc>
      </w:tr>
      <w:tr>
        <w:trPr/>
        <w:tc>
          <w:tcPr>
            <w:tcW w:w="4946"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13,993,642</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19,161,724</w:t>
            </w:r>
          </w:p>
        </w:tc>
        <w:tc>
          <w:tcPr>
            <w:tcW w:w="63" w:type="dxa"/>
            <w:tcBorders/>
            <w:shd w:fill="CCEEFF" w:val="clear"/>
            <w:vAlign w:val="bottom"/>
          </w:tcPr>
          <w:p>
            <w:pPr>
              <w:pStyle w:val="TableContents"/>
              <w:bidi w:val="0"/>
              <w:spacing w:before="0" w:after="283"/>
              <w:jc w:val="left"/>
              <w:rPr/>
            </w:pPr>
            <w:r>
              <w:rPr/>
              <w:t> </w:t>
            </w:r>
          </w:p>
        </w:tc>
      </w:tr>
      <w:tr>
        <w:trPr/>
        <w:tc>
          <w:tcPr>
            <w:tcW w:w="4946"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Dividends </w:t>
      </w:r>
    </w:p>
    <w:p>
      <w:pPr>
        <w:pStyle w:val="TextBody"/>
        <w:bidi w:val="0"/>
        <w:spacing w:before="120" w:after="0"/>
        <w:jc w:val="left"/>
        <w:rPr>
          <w:rFonts w:ascii="Times New Roman" w:hAnsi="Times New Roman"/>
          <w:sz w:val="20"/>
        </w:rPr>
      </w:pPr>
      <w:r>
        <w:rPr>
          <w:rFonts w:ascii="Times New Roman" w:hAnsi="Times New Roman"/>
          <w:sz w:val="20"/>
        </w:rPr>
        <w:t xml:space="preserve">Dividends are recognized when declared. No dividend was declared for the six months ended June 30, 2026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INTERIM RECONCILIATIONS OF GAAP AND NON-GAAP RESULTS </w:t>
      </w:r>
    </w:p>
    <w:p>
      <w:pPr>
        <w:pStyle w:val="TextBody"/>
        <w:bidi w:val="0"/>
        <w:spacing w:before="240" w:after="0"/>
        <w:jc w:val="center"/>
        <w:rPr>
          <w:rFonts w:ascii="Times New Roman" w:hAnsi="Times New Roman"/>
          <w:sz w:val="20"/>
        </w:rPr>
      </w:pPr>
      <w:r>
        <w:rPr>
          <w:rFonts w:ascii="Times New Roman" w:hAnsi="Times New Roman"/>
          <w:sz w:val="20"/>
        </w:rPr>
        <w:t xml:space="preserve">(All amounts in thousands, except for ADS/ordinary share and per ADS/ordinary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36"/>
        <w:gridCol w:w="220"/>
        <w:gridCol w:w="60"/>
        <w:gridCol w:w="1544"/>
        <w:gridCol w:w="156"/>
        <w:gridCol w:w="175"/>
        <w:gridCol w:w="60"/>
        <w:gridCol w:w="1544"/>
        <w:gridCol w:w="160"/>
      </w:tblGrid>
      <w:tr>
        <w:trPr/>
        <w:tc>
          <w:tcPr>
            <w:tcW w:w="3836"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3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539"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60" w:type="dxa"/>
            <w:tcBorders/>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2026</w:t>
            </w:r>
          </w:p>
          <w:p>
            <w:pPr>
              <w:pStyle w:val="TableContents"/>
              <w:bidi w:val="0"/>
              <w:spacing w:before="0" w:after="20"/>
              <w:jc w:val="center"/>
              <w:rPr>
                <w:rFonts w:ascii="Times New Roman" w:hAnsi="Times New Roman"/>
                <w:b/>
                <w:i/>
                <w:sz w:val="16"/>
              </w:rPr>
            </w:pPr>
            <w:r>
              <w:rPr>
                <w:rFonts w:ascii="Times New Roman" w:hAnsi="Times New Roman"/>
                <w:b/>
                <w:i/>
                <w:sz w:val="16"/>
              </w:rPr>
              <w:t>RMB</w:t>
            </w:r>
          </w:p>
        </w:tc>
        <w:tc>
          <w:tcPr>
            <w:tcW w:w="15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20"/>
              <w:jc w:val="center"/>
              <w:rPr>
                <w:rFonts w:ascii="Times New Roman" w:hAnsi="Times New Roman"/>
                <w:i/>
                <w:sz w:val="16"/>
              </w:rPr>
            </w:pPr>
            <w:r>
              <w:rPr>
                <w:rFonts w:ascii="Times New Roman" w:hAnsi="Times New Roman"/>
                <w:i/>
                <w:sz w:val="16"/>
              </w:rPr>
              <w:t>RMB</w:t>
            </w:r>
          </w:p>
        </w:tc>
        <w:tc>
          <w:tcPr>
            <w:tcW w:w="160"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b/>
              </w:rPr>
            </w:pPr>
            <w:r>
              <w:rPr>
                <w:b/>
              </w:rPr>
              <w:t>(3,017,004</w:t>
            </w:r>
          </w:p>
        </w:tc>
        <w:tc>
          <w:tcPr>
            <w:tcW w:w="156" w:type="dxa"/>
            <w:tcBorders/>
            <w:shd w:fill="CCEEFF" w:val="clear"/>
            <w:vAlign w:val="bottom"/>
          </w:tcPr>
          <w:p>
            <w:pPr>
              <w:pStyle w:val="TableContents"/>
              <w:bidi w:val="0"/>
              <w:spacing w:before="0" w:after="283"/>
              <w:jc w:val="left"/>
              <w:rPr>
                <w:b/>
              </w:rPr>
            </w:pPr>
            <w:r>
              <w:rPr>
                <w:b/>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(1,976,096</w:t>
            </w:r>
          </w:p>
        </w:tc>
        <w:tc>
          <w:tcPr>
            <w:tcW w:w="160" w:type="dxa"/>
            <w:tcBorders/>
            <w:shd w:fill="CCEEFF" w:val="clear"/>
            <w:vAlign w:val="bottom"/>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 loss on derivative liability relating to contingent consideration</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(98,775</w:t>
            </w:r>
          </w:p>
        </w:tc>
        <w:tc>
          <w:tcPr>
            <w:tcW w:w="156"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84,225</w:t>
            </w:r>
          </w:p>
        </w:tc>
        <w:tc>
          <w:tcPr>
            <w:tcW w:w="160"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b/>
              </w:rPr>
            </w:pPr>
            <w:r>
              <w:rPr>
                <w:b/>
              </w:rPr>
              <w:t>296,952</w:t>
            </w:r>
          </w:p>
        </w:tc>
        <w:tc>
          <w:tcPr>
            <w:tcW w:w="15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246,503</w:t>
            </w:r>
          </w:p>
        </w:tc>
        <w:tc>
          <w:tcPr>
            <w:tcW w:w="160" w:type="dxa"/>
            <w:tcBorders/>
            <w:shd w:fill="CCEEFF" w:val="clear"/>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loss from operations</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(2,818,827</w:t>
            </w:r>
          </w:p>
        </w:tc>
        <w:tc>
          <w:tcPr>
            <w:tcW w:w="156"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(1,645,368</w:t>
            </w:r>
          </w:p>
        </w:tc>
        <w:tc>
          <w:tcPr>
            <w:tcW w:w="160" w:type="dxa"/>
            <w:tcBorders/>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b/>
              </w:rPr>
            </w:pPr>
            <w:r>
              <w:rPr>
                <w:b/>
              </w:rPr>
              <w:t>(3,121,164</w:t>
            </w:r>
          </w:p>
        </w:tc>
        <w:tc>
          <w:tcPr>
            <w:tcW w:w="156" w:type="dxa"/>
            <w:tcBorders/>
            <w:shd w:fill="CCEEFF" w:val="clear"/>
            <w:vAlign w:val="bottom"/>
          </w:tcPr>
          <w:p>
            <w:pPr>
              <w:pStyle w:val="TableContents"/>
              <w:bidi w:val="0"/>
              <w:spacing w:before="0" w:after="283"/>
              <w:jc w:val="left"/>
              <w:rPr>
                <w:b/>
              </w:rPr>
            </w:pPr>
            <w:r>
              <w:rPr>
                <w:b/>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(1,141,800</w:t>
            </w:r>
          </w:p>
        </w:tc>
        <w:tc>
          <w:tcPr>
            <w:tcW w:w="160" w:type="dxa"/>
            <w:tcBorders/>
            <w:shd w:fill="CCEEFF" w:val="clear"/>
            <w:vAlign w:val="bottom"/>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 loss on derivative liability relating to contingent consideration</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(98,775</w:t>
            </w:r>
          </w:p>
        </w:tc>
        <w:tc>
          <w:tcPr>
            <w:tcW w:w="156"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84,225</w:t>
            </w:r>
          </w:p>
        </w:tc>
        <w:tc>
          <w:tcPr>
            <w:tcW w:w="160"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b/>
              </w:rPr>
            </w:pPr>
            <w:r>
              <w:rPr>
                <w:b/>
              </w:rPr>
              <w:t>296,952</w:t>
            </w:r>
          </w:p>
        </w:tc>
        <w:tc>
          <w:tcPr>
            <w:tcW w:w="15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246,503</w:t>
            </w:r>
          </w:p>
        </w:tc>
        <w:tc>
          <w:tcPr>
            <w:tcW w:w="160" w:type="dxa"/>
            <w:tcBorders/>
            <w:shd w:fill="CCEEFF" w:val="clear"/>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net loss</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(2,922,987</w:t>
            </w:r>
          </w:p>
        </w:tc>
        <w:tc>
          <w:tcPr>
            <w:tcW w:w="156"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(811,072</w:t>
            </w:r>
          </w:p>
        </w:tc>
        <w:tc>
          <w:tcPr>
            <w:tcW w:w="160" w:type="dxa"/>
            <w:tcBorders/>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ordinary shareholders</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b/>
              </w:rPr>
            </w:pPr>
            <w:r>
              <w:rPr>
                <w:b/>
              </w:rPr>
              <w:t>(3,121,164</w:t>
            </w:r>
          </w:p>
        </w:tc>
        <w:tc>
          <w:tcPr>
            <w:tcW w:w="156" w:type="dxa"/>
            <w:tcBorders/>
            <w:shd w:fill="CCEEFF" w:val="clear"/>
            <w:vAlign w:val="bottom"/>
          </w:tcPr>
          <w:p>
            <w:pPr>
              <w:pStyle w:val="TableContents"/>
              <w:bidi w:val="0"/>
              <w:spacing w:before="0" w:after="283"/>
              <w:jc w:val="left"/>
              <w:rPr>
                <w:b/>
              </w:rPr>
            </w:pPr>
            <w:r>
              <w:rPr>
                <w:b/>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(1,141,800</w:t>
            </w:r>
          </w:p>
        </w:tc>
        <w:tc>
          <w:tcPr>
            <w:tcW w:w="160" w:type="dxa"/>
            <w:tcBorders/>
            <w:shd w:fill="CCEEFF" w:val="clear"/>
            <w:vAlign w:val="bottom"/>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 loss on derivative liability relating to contingent consideration</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(98,775</w:t>
            </w:r>
          </w:p>
        </w:tc>
        <w:tc>
          <w:tcPr>
            <w:tcW w:w="156"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84,225</w:t>
            </w:r>
          </w:p>
        </w:tc>
        <w:tc>
          <w:tcPr>
            <w:tcW w:w="160"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b/>
              </w:rPr>
            </w:pPr>
            <w:r>
              <w:rPr>
                <w:b/>
              </w:rPr>
              <w:t>296,952</w:t>
            </w:r>
          </w:p>
        </w:tc>
        <w:tc>
          <w:tcPr>
            <w:tcW w:w="15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246,503</w:t>
            </w:r>
          </w:p>
        </w:tc>
        <w:tc>
          <w:tcPr>
            <w:tcW w:w="160" w:type="dxa"/>
            <w:tcBorders/>
            <w:shd w:fill="CCEEFF" w:val="clear"/>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net loss attributable to ordinary shareholders of XPeng Inc.</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(2,922,987</w:t>
            </w:r>
          </w:p>
        </w:tc>
        <w:tc>
          <w:tcPr>
            <w:tcW w:w="156"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(811,072</w:t>
            </w:r>
          </w:p>
        </w:tc>
        <w:tc>
          <w:tcPr>
            <w:tcW w:w="160" w:type="dxa"/>
            <w:tcBorders/>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ordinary shares used in calculating Non-GAAP net loss per share</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1,911,657,495</w:t>
            </w:r>
          </w:p>
        </w:tc>
        <w:tc>
          <w:tcPr>
            <w:tcW w:w="15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1,900,912,109</w:t>
            </w:r>
          </w:p>
        </w:tc>
        <w:tc>
          <w:tcPr>
            <w:tcW w:w="160"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loss per ordinary share</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(1.53</w:t>
            </w:r>
          </w:p>
        </w:tc>
        <w:tc>
          <w:tcPr>
            <w:tcW w:w="156"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(0.43</w:t>
            </w:r>
          </w:p>
        </w:tc>
        <w:tc>
          <w:tcPr>
            <w:tcW w:w="160"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ADS used in calculating Non-GAAP net loss per share</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955,828,748</w:t>
            </w:r>
          </w:p>
        </w:tc>
        <w:tc>
          <w:tcPr>
            <w:tcW w:w="15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950,456,055</w:t>
            </w:r>
          </w:p>
        </w:tc>
        <w:tc>
          <w:tcPr>
            <w:tcW w:w="160"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loss per ADS</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b/>
              </w:rPr>
            </w:pPr>
            <w:r>
              <w:rPr>
                <w:b/>
              </w:rPr>
              <w:t>(3.06</w:t>
            </w:r>
          </w:p>
        </w:tc>
        <w:tc>
          <w:tcPr>
            <w:tcW w:w="156"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(0.85</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12240</Words>
  <Characters>68950</Characters>
  <CharactersWithSpaces>84427</CharactersWithSpaces>
  <Paragraphs>5663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